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E740" w14:textId="77777777" w:rsidR="006D7F44" w:rsidRDefault="002640C7" w:rsidP="006E2906">
      <w:pPr>
        <w:autoSpaceDE w:val="0"/>
        <w:autoSpaceDN w:val="0"/>
        <w:adjustRightInd w:val="0"/>
        <w:ind w:right="-1440" w:firstLine="118"/>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t>c</w:t>
      </w:r>
      <w:r w:rsidR="008F4949">
        <w:t>;</w:t>
      </w:r>
      <w:r w:rsidR="00BE6EFC">
        <w:rPr>
          <w:noProof/>
        </w:rPr>
        <mc:AlternateContent>
          <mc:Choice Requires="wpg">
            <w:drawing>
              <wp:inline distT="0" distB="0" distL="0" distR="0" wp14:anchorId="0C17D8EA" wp14:editId="20EE41E4">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75D3E597"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5245BB">
                                <w:rPr>
                                  <w:rFonts w:ascii="Sansa Lloyds" w:hAnsi="Sansa Lloyds"/>
                                  <w:sz w:val="44"/>
                                  <w:szCs w:val="44"/>
                                </w:rPr>
                                <w:t>0</w:t>
                              </w:r>
                              <w:r w:rsidR="00CE3EFE">
                                <w:rPr>
                                  <w:rFonts w:ascii="Sansa Lloyds" w:hAnsi="Sansa Lloyds"/>
                                  <w:sz w:val="44"/>
                                  <w:szCs w:val="44"/>
                                </w:rPr>
                                <w:t xml:space="preserve"> </w:t>
                              </w:r>
                              <w:r w:rsidR="00450FCC">
                                <w:rPr>
                                  <w:rFonts w:ascii="Sansa Lloyds" w:hAnsi="Sansa Lloyds"/>
                                  <w:sz w:val="44"/>
                                  <w:szCs w:val="44"/>
                                </w:rPr>
                                <w:t>September</w:t>
                              </w:r>
                              <w:r w:rsidR="0002759F">
                                <w:rPr>
                                  <w:rFonts w:ascii="Sansa Lloyds" w:hAnsi="Sansa Lloyds"/>
                                  <w:sz w:val="44"/>
                                  <w:szCs w:val="44"/>
                                </w:rPr>
                                <w:t xml:space="preserve">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0DB58E07"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450FCC">
                                <w:rPr>
                                  <w:rFonts w:ascii="Sansa Lloyds" w:hAnsi="Sansa Lloyds"/>
                                  <w:sz w:val="28"/>
                                  <w:szCs w:val="28"/>
                                </w:rPr>
                                <w:t>30</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0C17D8EA"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75D3E597"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5245BB">
                          <w:rPr>
                            <w:rFonts w:ascii="Sansa Lloyds" w:hAnsi="Sansa Lloyds"/>
                            <w:sz w:val="44"/>
                            <w:szCs w:val="44"/>
                          </w:rPr>
                          <w:t>0</w:t>
                        </w:r>
                        <w:r w:rsidR="00CE3EFE">
                          <w:rPr>
                            <w:rFonts w:ascii="Sansa Lloyds" w:hAnsi="Sansa Lloyds"/>
                            <w:sz w:val="44"/>
                            <w:szCs w:val="44"/>
                          </w:rPr>
                          <w:t xml:space="preserve"> </w:t>
                        </w:r>
                        <w:r w:rsidR="00450FCC">
                          <w:rPr>
                            <w:rFonts w:ascii="Sansa Lloyds" w:hAnsi="Sansa Lloyds"/>
                            <w:sz w:val="44"/>
                            <w:szCs w:val="44"/>
                          </w:rPr>
                          <w:t>September</w:t>
                        </w:r>
                        <w:r w:rsidR="0002759F">
                          <w:rPr>
                            <w:rFonts w:ascii="Sansa Lloyds" w:hAnsi="Sansa Lloyds"/>
                            <w:sz w:val="44"/>
                            <w:szCs w:val="44"/>
                          </w:rPr>
                          <w:t xml:space="preserve">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0DB58E07"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450FCC">
                          <w:rPr>
                            <w:rFonts w:ascii="Sansa Lloyds" w:hAnsi="Sansa Lloyds"/>
                            <w:sz w:val="28"/>
                            <w:szCs w:val="28"/>
                          </w:rPr>
                          <w:t>30</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anchorlock/>
              </v:group>
            </w:pict>
          </mc:Fallback>
        </mc:AlternateContent>
      </w:r>
    </w:p>
    <w:p w14:paraId="68955C03" w14:textId="77777777" w:rsidR="006D7F44" w:rsidRDefault="006D7F44" w:rsidP="00C23533">
      <w:pPr>
        <w:autoSpaceDE w:val="0"/>
        <w:autoSpaceDN w:val="0"/>
        <w:adjustRightInd w:val="0"/>
        <w:spacing w:before="3" w:line="110" w:lineRule="exact"/>
        <w:rPr>
          <w:sz w:val="11"/>
          <w:szCs w:val="11"/>
        </w:rPr>
      </w:pPr>
    </w:p>
    <w:p w14:paraId="44F7D028"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1F96C0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8B2AFD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4A10E72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581B744"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5C60603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858779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4F00875"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37816A6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36277B">
          <w:headerReference w:type="even" r:id="rId17"/>
          <w:headerReference w:type="default" r:id="rId18"/>
          <w:footerReference w:type="even" r:id="rId19"/>
          <w:footerReference w:type="default" r:id="rId20"/>
          <w:headerReference w:type="first" r:id="rId21"/>
          <w:footerReference w:type="first" r:id="rId22"/>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77777777"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7A4FAA">
        <w:trPr>
          <w:trHeight w:hRule="exact" w:val="931"/>
        </w:trPr>
        <w:tc>
          <w:tcPr>
            <w:tcW w:w="5070" w:type="dxa"/>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60BA9D40"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CE3EFE">
              <w:rPr>
                <w:rFonts w:ascii="Arial" w:hAnsi="Arial" w:cs="Arial"/>
                <w:b/>
                <w:sz w:val="22"/>
                <w:szCs w:val="22"/>
              </w:rPr>
              <w:t>2</w:t>
            </w:r>
            <w:r w:rsidR="00450FCC">
              <w:rPr>
                <w:rFonts w:ascii="Arial" w:hAnsi="Arial" w:cs="Arial"/>
                <w:b/>
                <w:sz w:val="22"/>
                <w:szCs w:val="22"/>
              </w:rPr>
              <w:t>9</w:t>
            </w:r>
            <w:r w:rsidR="00CE3EFE" w:rsidRPr="00EB2915">
              <w:rPr>
                <w:rFonts w:ascii="Arial" w:hAnsi="Arial" w:cs="Arial"/>
                <w:b/>
                <w:sz w:val="22"/>
                <w:szCs w:val="22"/>
              </w:rPr>
              <w:t xml:space="preserve">                                                                       </w:t>
            </w:r>
          </w:p>
        </w:tc>
        <w:tc>
          <w:tcPr>
            <w:tcW w:w="2126" w:type="dxa"/>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0C490ED5" w:rsidR="00EB2915" w:rsidRPr="003A2193" w:rsidRDefault="00547F76"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4</w:t>
            </w:r>
          </w:p>
        </w:tc>
        <w:tc>
          <w:tcPr>
            <w:tcW w:w="2875" w:type="dxa"/>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7A4FAA">
        <w:trPr>
          <w:trHeight w:hRule="exact" w:val="340"/>
        </w:trPr>
        <w:tc>
          <w:tcPr>
            <w:tcW w:w="5070" w:type="dxa"/>
          </w:tcPr>
          <w:p w14:paraId="6C69DB46"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tcPr>
          <w:p w14:paraId="340DF10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tcPr>
          <w:p w14:paraId="15E5A431" w14:textId="77777777" w:rsidR="004A1C88" w:rsidRPr="003A2193" w:rsidRDefault="004A1C88" w:rsidP="003A2193">
            <w:pPr>
              <w:tabs>
                <w:tab w:val="right" w:pos="9356"/>
              </w:tabs>
              <w:spacing w:after="120" w:line="280" w:lineRule="atLeast"/>
              <w:jc w:val="center"/>
              <w:rPr>
                <w:rFonts w:ascii="Arial" w:hAnsi="Arial" w:cs="Arial"/>
                <w:sz w:val="22"/>
                <w:szCs w:val="22"/>
              </w:rPr>
            </w:pPr>
          </w:p>
        </w:tc>
        <w:tc>
          <w:tcPr>
            <w:tcW w:w="2875" w:type="dxa"/>
          </w:tcPr>
          <w:p w14:paraId="25D8BA2D"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7A4FAA">
        <w:trPr>
          <w:trHeight w:hRule="exact" w:val="454"/>
        </w:trPr>
        <w:tc>
          <w:tcPr>
            <w:tcW w:w="5070" w:type="dxa"/>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tcPr>
          <w:p w14:paraId="2E31EE22" w14:textId="64179658" w:rsidR="004A1C88" w:rsidRPr="00AF46BD" w:rsidRDefault="009C459D" w:rsidP="00793E42">
            <w:pPr>
              <w:tabs>
                <w:tab w:val="right" w:pos="9356"/>
              </w:tabs>
              <w:spacing w:after="120" w:line="280" w:lineRule="atLeast"/>
              <w:jc w:val="center"/>
              <w:rPr>
                <w:rFonts w:ascii="Arial" w:hAnsi="Arial" w:cs="Arial"/>
                <w:sz w:val="22"/>
                <w:szCs w:val="22"/>
              </w:rPr>
            </w:pPr>
            <w:r>
              <w:rPr>
                <w:rFonts w:ascii="Arial" w:hAnsi="Arial" w:cs="Arial"/>
                <w:sz w:val="22"/>
                <w:szCs w:val="22"/>
              </w:rPr>
              <w:t>5</w:t>
            </w:r>
          </w:p>
        </w:tc>
        <w:tc>
          <w:tcPr>
            <w:tcW w:w="2875" w:type="dxa"/>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7A4FAA">
        <w:trPr>
          <w:trHeight w:hRule="exact" w:val="277"/>
        </w:trPr>
        <w:tc>
          <w:tcPr>
            <w:tcW w:w="5070" w:type="dxa"/>
            <w:vAlign w:val="center"/>
          </w:tcPr>
          <w:p w14:paraId="1357A6A1"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vAlign w:val="center"/>
          </w:tcPr>
          <w:p w14:paraId="24A0198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tcPr>
          <w:p w14:paraId="2CFF0105" w14:textId="77777777" w:rsidR="004A1C88" w:rsidRPr="00AF46BD" w:rsidRDefault="004A1C88" w:rsidP="003A2193">
            <w:pPr>
              <w:tabs>
                <w:tab w:val="right" w:pos="9356"/>
              </w:tabs>
              <w:spacing w:after="120" w:line="280" w:lineRule="atLeast"/>
              <w:rPr>
                <w:rFonts w:ascii="Arial" w:hAnsi="Arial" w:cs="Arial"/>
                <w:sz w:val="22"/>
                <w:szCs w:val="22"/>
              </w:rPr>
            </w:pPr>
          </w:p>
        </w:tc>
        <w:tc>
          <w:tcPr>
            <w:tcW w:w="2875" w:type="dxa"/>
          </w:tcPr>
          <w:p w14:paraId="4DD6D529"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7A4FAA">
        <w:trPr>
          <w:trHeight w:hRule="exact" w:val="454"/>
        </w:trPr>
        <w:tc>
          <w:tcPr>
            <w:tcW w:w="5070" w:type="dxa"/>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tcPr>
          <w:p w14:paraId="003937EB" w14:textId="73142CB9" w:rsidR="004A1C88" w:rsidRPr="00AF46BD" w:rsidRDefault="009C459D" w:rsidP="008D77F1">
            <w:pPr>
              <w:tabs>
                <w:tab w:val="right" w:pos="9356"/>
              </w:tabs>
              <w:spacing w:after="120" w:line="280" w:lineRule="atLeast"/>
              <w:jc w:val="center"/>
              <w:rPr>
                <w:rFonts w:ascii="Arial" w:hAnsi="Arial" w:cs="Arial"/>
                <w:sz w:val="22"/>
                <w:szCs w:val="22"/>
              </w:rPr>
            </w:pPr>
            <w:r>
              <w:rPr>
                <w:rFonts w:ascii="Arial" w:hAnsi="Arial" w:cs="Arial"/>
                <w:sz w:val="22"/>
                <w:szCs w:val="22"/>
              </w:rPr>
              <w:t>8</w:t>
            </w:r>
          </w:p>
        </w:tc>
        <w:tc>
          <w:tcPr>
            <w:tcW w:w="2875" w:type="dxa"/>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7A4FAA">
        <w:trPr>
          <w:trHeight w:hRule="exact" w:val="340"/>
        </w:trPr>
        <w:tc>
          <w:tcPr>
            <w:tcW w:w="7196" w:type="dxa"/>
            <w:gridSpan w:val="2"/>
            <w:vAlign w:val="center"/>
          </w:tcPr>
          <w:p w14:paraId="3E515EF2"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tcPr>
          <w:p w14:paraId="52B44B9F" w14:textId="77777777" w:rsidR="004A1C88" w:rsidRPr="00AF46BD" w:rsidRDefault="004A1C88" w:rsidP="003A2193">
            <w:pPr>
              <w:tabs>
                <w:tab w:val="right" w:pos="9356"/>
              </w:tabs>
              <w:spacing w:after="120" w:line="280" w:lineRule="atLeast"/>
              <w:jc w:val="center"/>
              <w:rPr>
                <w:rFonts w:ascii="Arial" w:hAnsi="Arial" w:cs="Arial"/>
                <w:color w:val="00789C"/>
                <w:sz w:val="22"/>
                <w:szCs w:val="22"/>
              </w:rPr>
            </w:pPr>
          </w:p>
          <w:p w14:paraId="69C5E734"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p w14:paraId="6843AAED"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tc>
        <w:tc>
          <w:tcPr>
            <w:tcW w:w="2875" w:type="dxa"/>
            <w:vAlign w:val="center"/>
          </w:tcPr>
          <w:p w14:paraId="07013BAA" w14:textId="77777777" w:rsidR="004A1C88" w:rsidRPr="003B3E91" w:rsidRDefault="004A1C88" w:rsidP="003A2193">
            <w:pPr>
              <w:tabs>
                <w:tab w:val="right" w:pos="9356"/>
              </w:tabs>
              <w:spacing w:after="120" w:line="280" w:lineRule="atLeast"/>
              <w:jc w:val="center"/>
              <w:rPr>
                <w:rFonts w:cs="Arial"/>
                <w:color w:val="00789C"/>
              </w:rPr>
            </w:pPr>
          </w:p>
        </w:tc>
      </w:tr>
      <w:tr w:rsidR="004A1C88" w:rsidRPr="003C1EEF" w14:paraId="2A8AC9B8" w14:textId="77777777" w:rsidTr="007A4FAA">
        <w:trPr>
          <w:trHeight w:hRule="exact" w:val="1260"/>
        </w:trPr>
        <w:tc>
          <w:tcPr>
            <w:tcW w:w="5070" w:type="dxa"/>
            <w:vAlign w:val="center"/>
          </w:tcPr>
          <w:p w14:paraId="101FDBDC" w14:textId="77777777" w:rsidR="004A1C88" w:rsidRPr="00EB2915" w:rsidRDefault="004A1C88" w:rsidP="0090474F">
            <w:pPr>
              <w:tabs>
                <w:tab w:val="right" w:pos="9356"/>
              </w:tabs>
              <w:spacing w:after="120" w:line="280" w:lineRule="atLeast"/>
              <w:rPr>
                <w:rFonts w:ascii="Arial" w:hAnsi="Arial" w:cs="Arial"/>
                <w:sz w:val="22"/>
                <w:szCs w:val="22"/>
              </w:rPr>
            </w:pPr>
            <w:r w:rsidRPr="00EB2915">
              <w:rPr>
                <w:rFonts w:ascii="Arial" w:hAnsi="Arial" w:cs="Arial"/>
                <w:b/>
                <w:sz w:val="22"/>
                <w:szCs w:val="22"/>
              </w:rPr>
              <w:t xml:space="preserve">Section 3: Form Instructions for </w:t>
            </w:r>
            <w:r w:rsidR="00294680" w:rsidRPr="00EB2915">
              <w:rPr>
                <w:rFonts w:ascii="Arial" w:hAnsi="Arial" w:cs="Arial"/>
                <w:b/>
                <w:sz w:val="22"/>
                <w:szCs w:val="22"/>
              </w:rPr>
              <w:t>Quarterly</w:t>
            </w:r>
            <w:r w:rsidR="006A0CCB" w:rsidRPr="00EB2915">
              <w:rPr>
                <w:rFonts w:ascii="Arial" w:hAnsi="Arial" w:cs="Arial"/>
                <w:b/>
                <w:sz w:val="22"/>
                <w:szCs w:val="22"/>
              </w:rPr>
              <w:t xml:space="preserve"> </w:t>
            </w:r>
            <w:r w:rsidR="0090474F" w:rsidRPr="00EB2915">
              <w:rPr>
                <w:rFonts w:ascii="Arial" w:hAnsi="Arial" w:cs="Arial"/>
                <w:b/>
                <w:sz w:val="22"/>
                <w:szCs w:val="22"/>
              </w:rPr>
              <w:t>S</w:t>
            </w:r>
            <w:r w:rsidR="006A0CCB" w:rsidRPr="00EB2915">
              <w:rPr>
                <w:rFonts w:ascii="Arial" w:hAnsi="Arial" w:cs="Arial"/>
                <w:b/>
                <w:sz w:val="22"/>
                <w:szCs w:val="22"/>
              </w:rPr>
              <w:t xml:space="preserve">olvency </w:t>
            </w:r>
            <w:r w:rsidR="006F3723" w:rsidRPr="00EB2915">
              <w:rPr>
                <w:rFonts w:ascii="Arial" w:hAnsi="Arial" w:cs="Arial"/>
                <w:b/>
                <w:sz w:val="22"/>
                <w:szCs w:val="22"/>
              </w:rPr>
              <w:t>Return (QSR)</w:t>
            </w:r>
          </w:p>
        </w:tc>
        <w:tc>
          <w:tcPr>
            <w:tcW w:w="2126" w:type="dxa"/>
            <w:vAlign w:val="center"/>
          </w:tcPr>
          <w:p w14:paraId="3142465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tcPr>
          <w:p w14:paraId="5690382A" w14:textId="77777777" w:rsidR="0050702F" w:rsidRPr="00AF46BD" w:rsidRDefault="0050702F" w:rsidP="00EA0C14">
            <w:pPr>
              <w:tabs>
                <w:tab w:val="right" w:pos="9356"/>
              </w:tabs>
              <w:spacing w:after="120" w:line="280" w:lineRule="atLeast"/>
              <w:jc w:val="center"/>
              <w:rPr>
                <w:rFonts w:ascii="Arial" w:hAnsi="Arial" w:cs="Arial"/>
                <w:sz w:val="22"/>
                <w:szCs w:val="22"/>
              </w:rPr>
            </w:pPr>
          </w:p>
          <w:p w14:paraId="75C77992" w14:textId="23552204" w:rsidR="004A1C88" w:rsidRPr="00AF46BD" w:rsidRDefault="00904A93" w:rsidP="00173D27">
            <w:pPr>
              <w:tabs>
                <w:tab w:val="right" w:pos="9356"/>
              </w:tabs>
              <w:spacing w:after="120" w:line="280" w:lineRule="atLeast"/>
              <w:jc w:val="center"/>
              <w:rPr>
                <w:rFonts w:ascii="Arial" w:hAnsi="Arial" w:cs="Arial"/>
                <w:sz w:val="22"/>
                <w:szCs w:val="22"/>
              </w:rPr>
            </w:pPr>
            <w:r w:rsidRPr="00AD7DA2">
              <w:rPr>
                <w:rFonts w:ascii="Arial" w:hAnsi="Arial" w:cs="Arial"/>
                <w:sz w:val="22"/>
                <w:szCs w:val="22"/>
              </w:rPr>
              <w:t>1</w:t>
            </w:r>
            <w:r w:rsidR="00543EA4">
              <w:rPr>
                <w:rFonts w:ascii="Arial" w:hAnsi="Arial" w:cs="Arial"/>
                <w:sz w:val="22"/>
                <w:szCs w:val="22"/>
              </w:rPr>
              <w:t>3</w:t>
            </w:r>
          </w:p>
        </w:tc>
        <w:tc>
          <w:tcPr>
            <w:tcW w:w="2875" w:type="dxa"/>
            <w:vAlign w:val="center"/>
          </w:tcPr>
          <w:p w14:paraId="008FDFD6" w14:textId="77777777" w:rsidR="004A1C88" w:rsidRPr="003B3E91" w:rsidRDefault="004A1C88" w:rsidP="003A2193">
            <w:pPr>
              <w:tabs>
                <w:tab w:val="right" w:pos="9356"/>
              </w:tabs>
              <w:spacing w:after="120" w:line="280" w:lineRule="atLeast"/>
              <w:jc w:val="center"/>
              <w:rPr>
                <w:rFonts w:cs="Arial"/>
              </w:rPr>
            </w:pPr>
          </w:p>
        </w:tc>
      </w:tr>
      <w:tr w:rsidR="007A494A" w:rsidRPr="003C1EEF" w14:paraId="1B131277" w14:textId="77777777" w:rsidTr="007A4FAA">
        <w:trPr>
          <w:trHeight w:hRule="exact" w:val="1260"/>
        </w:trPr>
        <w:tc>
          <w:tcPr>
            <w:tcW w:w="5070" w:type="dxa"/>
            <w:vAlign w:val="center"/>
          </w:tcPr>
          <w:p w14:paraId="29695B6F"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Section 4: Form Instructions for Quarterly Asset Data (QAD)</w:t>
            </w:r>
          </w:p>
        </w:tc>
        <w:tc>
          <w:tcPr>
            <w:tcW w:w="2126" w:type="dxa"/>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F4CFDF9" w:rsidR="007A494A" w:rsidRPr="00AF46BD" w:rsidRDefault="007A494A" w:rsidP="007A494A">
            <w:pPr>
              <w:tabs>
                <w:tab w:val="right" w:pos="9356"/>
              </w:tabs>
              <w:spacing w:after="120" w:line="280" w:lineRule="atLeast"/>
              <w:jc w:val="center"/>
              <w:rPr>
                <w:rFonts w:ascii="Arial" w:hAnsi="Arial" w:cs="Arial"/>
                <w:sz w:val="22"/>
                <w:szCs w:val="22"/>
              </w:rPr>
            </w:pPr>
            <w:r w:rsidRPr="00AD7DA2">
              <w:rPr>
                <w:rFonts w:ascii="Arial" w:hAnsi="Arial" w:cs="Arial"/>
                <w:sz w:val="22"/>
                <w:szCs w:val="22"/>
              </w:rPr>
              <w:t>4</w:t>
            </w:r>
            <w:r w:rsidR="00543EA4">
              <w:rPr>
                <w:rFonts w:ascii="Arial" w:hAnsi="Arial" w:cs="Arial"/>
                <w:sz w:val="22"/>
                <w:szCs w:val="22"/>
              </w:rPr>
              <w:t>5</w:t>
            </w:r>
          </w:p>
        </w:tc>
        <w:tc>
          <w:tcPr>
            <w:tcW w:w="2875" w:type="dxa"/>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8" w:name="_Toc182383162"/>
      <w:bookmarkStart w:id="9" w:name="_Toc182386658"/>
      <w:bookmarkStart w:id="10"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vAlign w:val="center"/>
          </w:tcPr>
          <w:p w14:paraId="44B1F8E5"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7A4FAA">
        <w:trPr>
          <w:trHeight w:hRule="exact" w:val="836"/>
        </w:trPr>
        <w:tc>
          <w:tcPr>
            <w:tcW w:w="6536" w:type="dxa"/>
            <w:tcBorders>
              <w:top w:val="single" w:sz="4" w:space="0" w:color="auto"/>
              <w:left w:val="single" w:sz="4" w:space="0" w:color="auto"/>
              <w:bottom w:val="single" w:sz="4" w:space="0" w:color="auto"/>
              <w:right w:val="single" w:sz="4" w:space="0" w:color="auto"/>
            </w:tcBorders>
            <w:vAlign w:val="center"/>
          </w:tcPr>
          <w:p w14:paraId="7208C3A5" w14:textId="2CA7600E"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reports (QSR910 and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vAlign w:val="center"/>
          </w:tcPr>
          <w:p w14:paraId="009CB0AA"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QSR and QAD forms and specifications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4886C54"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vAlign w:val="center"/>
          </w:tcPr>
          <w:p w14:paraId="568479BF" w14:textId="77777777" w:rsidR="007A494A" w:rsidRPr="007A4FAA" w:rsidRDefault="007A494A" w:rsidP="007A494A">
            <w:pPr>
              <w:tabs>
                <w:tab w:val="right" w:pos="9356"/>
              </w:tabs>
              <w:spacing w:after="120" w:line="280" w:lineRule="atLeast"/>
              <w:rPr>
                <w:rFonts w:ascii="Arial" w:hAnsi="Arial" w:cs="Arial"/>
                <w:szCs w:val="22"/>
              </w:rPr>
            </w:pPr>
            <w:r w:rsidRPr="00825984">
              <w:rPr>
                <w:rFonts w:ascii="Arial" w:hAnsi="Arial" w:cs="Arial"/>
                <w:szCs w:val="22"/>
              </w:rPr>
              <w:t>5. CF syndicate loan template</w:t>
            </w:r>
          </w:p>
        </w:tc>
        <w:tc>
          <w:tcPr>
            <w:tcW w:w="2445" w:type="dxa"/>
            <w:tcBorders>
              <w:left w:val="single" w:sz="4" w:space="0" w:color="auto"/>
            </w:tcBorders>
            <w:vAlign w:val="center"/>
          </w:tcPr>
          <w:p w14:paraId="333F756C"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vAlign w:val="center"/>
          </w:tcPr>
          <w:p w14:paraId="216F4FEB" w14:textId="77777777" w:rsidR="006C3B59" w:rsidRPr="00825984" w:rsidRDefault="006C3B59" w:rsidP="006C3B59">
            <w:pPr>
              <w:tabs>
                <w:tab w:val="right" w:pos="9356"/>
              </w:tabs>
              <w:spacing w:after="120" w:line="280" w:lineRule="atLeast"/>
              <w:rPr>
                <w:rFonts w:ascii="Arial" w:hAnsi="Arial" w:cs="Arial"/>
                <w:szCs w:val="22"/>
              </w:rPr>
            </w:pPr>
            <w:r>
              <w:rPr>
                <w:rFonts w:ascii="Arial" w:hAnsi="Arial" w:cs="Arial"/>
                <w:szCs w:val="22"/>
              </w:rPr>
              <w:t>6.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722F97FC"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1.2</w:t>
      </w:r>
      <w:r w:rsidR="00450FCC">
        <w:rPr>
          <w:color w:val="DECC12"/>
        </w:rPr>
        <w:t>9</w:t>
      </w:r>
    </w:p>
    <w:p w14:paraId="39FF3295" w14:textId="7FD13A65" w:rsidR="00811114" w:rsidRDefault="00811114" w:rsidP="00811114">
      <w:pPr>
        <w:rPr>
          <w:rFonts w:ascii="Arial" w:hAnsi="Arial" w:cs="Arial"/>
          <w:b/>
          <w:bCs/>
          <w:u w:val="single"/>
        </w:rPr>
      </w:pPr>
      <w:r>
        <w:rPr>
          <w:rFonts w:ascii="Arial" w:hAnsi="Arial" w:cs="Arial"/>
          <w:b/>
          <w:bCs/>
          <w:u w:val="single"/>
        </w:rPr>
        <w:t>QSR</w:t>
      </w:r>
      <w:r w:rsidR="001D689C">
        <w:rPr>
          <w:rFonts w:ascii="Arial" w:hAnsi="Arial" w:cs="Arial"/>
          <w:b/>
          <w:bCs/>
          <w:u w:val="single"/>
        </w:rPr>
        <w:t>/QAD</w:t>
      </w:r>
      <w:r>
        <w:rPr>
          <w:rFonts w:ascii="Arial" w:hAnsi="Arial" w:cs="Arial"/>
          <w:b/>
          <w:bCs/>
          <w:u w:val="single"/>
        </w:rPr>
        <w:t xml:space="preserve"> specification</w:t>
      </w:r>
    </w:p>
    <w:p w14:paraId="0E446130" w14:textId="77777777" w:rsidR="00811114" w:rsidRDefault="00811114" w:rsidP="00811114">
      <w:pPr>
        <w:rPr>
          <w:rFonts w:ascii="Arial" w:hAnsi="Arial" w:cs="Arial"/>
        </w:rPr>
      </w:pPr>
    </w:p>
    <w:p w14:paraId="705126DB" w14:textId="7B22A052" w:rsidR="00811114" w:rsidRDefault="001D689C" w:rsidP="00811114">
      <w:pPr>
        <w:rPr>
          <w:rFonts w:ascii="Arial" w:hAnsi="Arial" w:cs="Arial"/>
        </w:rPr>
      </w:pPr>
      <w:r>
        <w:rPr>
          <w:rFonts w:ascii="Arial" w:hAnsi="Arial" w:cs="Arial"/>
        </w:rPr>
        <w:t>No changes to the Q</w:t>
      </w:r>
      <w:r w:rsidR="00F427F8">
        <w:rPr>
          <w:rFonts w:ascii="Arial" w:hAnsi="Arial" w:cs="Arial"/>
        </w:rPr>
        <w:t>SR</w:t>
      </w:r>
      <w:r>
        <w:rPr>
          <w:rFonts w:ascii="Arial" w:hAnsi="Arial" w:cs="Arial"/>
        </w:rPr>
        <w:t xml:space="preserve"> and QAD specifications for this quarter.</w:t>
      </w:r>
      <w:r>
        <w:rPr>
          <w:rFonts w:ascii="Arial" w:hAnsi="Arial" w:cs="Arial"/>
        </w:rPr>
        <w:tab/>
      </w:r>
    </w:p>
    <w:p w14:paraId="4851CB54" w14:textId="77777777" w:rsidR="001E28B7" w:rsidRDefault="001E28B7" w:rsidP="00811114">
      <w:pPr>
        <w:rPr>
          <w:rFonts w:ascii="Arial" w:hAnsi="Arial" w:cs="Arial"/>
        </w:rPr>
      </w:pPr>
    </w:p>
    <w:p w14:paraId="744C9724" w14:textId="77777777" w:rsidR="00811114" w:rsidRDefault="00811114" w:rsidP="00811114">
      <w:pPr>
        <w:rPr>
          <w:rFonts w:ascii="Arial" w:hAnsi="Arial" w:cs="Arial"/>
        </w:rPr>
      </w:pPr>
    </w:p>
    <w:p w14:paraId="56B793C4" w14:textId="3CA6CA28" w:rsidR="00BA0071" w:rsidRPr="00281044" w:rsidRDefault="00C7624E" w:rsidP="00BA0071">
      <w:pPr>
        <w:rPr>
          <w:rFonts w:ascii="Arial" w:hAnsi="Arial" w:cs="Arial"/>
          <w:b/>
          <w:u w:val="single"/>
        </w:rPr>
      </w:pPr>
      <w:r w:rsidRPr="00281044">
        <w:rPr>
          <w:rFonts w:ascii="Arial" w:hAnsi="Arial" w:cs="Arial"/>
          <w:b/>
          <w:u w:val="single"/>
        </w:rPr>
        <w:t>Solvency UK</w:t>
      </w:r>
      <w:r w:rsidR="00B34813" w:rsidRPr="00281044">
        <w:rPr>
          <w:rFonts w:ascii="Arial" w:hAnsi="Arial" w:cs="Arial"/>
          <w:b/>
          <w:u w:val="single"/>
        </w:rPr>
        <w:t xml:space="preserve"> adoption</w:t>
      </w:r>
    </w:p>
    <w:p w14:paraId="5BACB7B8" w14:textId="77777777" w:rsidR="00BA0071" w:rsidRPr="00281044" w:rsidRDefault="00BA0071" w:rsidP="00BA0071">
      <w:pPr>
        <w:rPr>
          <w:rFonts w:ascii="Arial" w:hAnsi="Arial" w:cs="Arial"/>
          <w:b/>
        </w:rPr>
      </w:pPr>
    </w:p>
    <w:p w14:paraId="6730A97B" w14:textId="358CFF1A" w:rsidR="002D5FA6" w:rsidRPr="00281044" w:rsidRDefault="002D5FA6" w:rsidP="002D5FA6">
      <w:pPr>
        <w:jc w:val="both"/>
        <w:rPr>
          <w:rFonts w:ascii="Arial" w:hAnsi="Arial" w:cs="Arial"/>
        </w:rPr>
      </w:pPr>
      <w:r w:rsidRPr="00281044">
        <w:rPr>
          <w:rFonts w:ascii="Arial" w:hAnsi="Arial" w:cs="Arial"/>
        </w:rPr>
        <w:t>The PRA published the final rules (</w:t>
      </w:r>
      <w:hyperlink r:id="rId24" w:history="1">
        <w:r w:rsidRPr="00281044">
          <w:rPr>
            <w:rStyle w:val="Hyperlink"/>
            <w:rFonts w:ascii="Arial" w:hAnsi="Arial" w:cs="Arial"/>
          </w:rPr>
          <w:t>PS15/24 – Review of Solvency II: Restatement of assimilated law</w:t>
        </w:r>
      </w:hyperlink>
      <w:r w:rsidRPr="00281044">
        <w:rPr>
          <w:rFonts w:ascii="Arial" w:hAnsi="Arial" w:cs="Arial"/>
        </w:rPr>
        <w:t xml:space="preserve">) on 15 November 2024. </w:t>
      </w:r>
    </w:p>
    <w:p w14:paraId="2C91A7FE" w14:textId="77777777" w:rsidR="002D5FA6" w:rsidRPr="00281044" w:rsidRDefault="002D5FA6" w:rsidP="002D5FA6">
      <w:pPr>
        <w:jc w:val="both"/>
        <w:rPr>
          <w:rFonts w:ascii="Arial" w:hAnsi="Arial" w:cs="Arial"/>
        </w:rPr>
      </w:pPr>
    </w:p>
    <w:p w14:paraId="3128F01D" w14:textId="02D5374C" w:rsidR="00F563B2" w:rsidRDefault="00F427F8" w:rsidP="002D5FA6">
      <w:pPr>
        <w:jc w:val="both"/>
        <w:rPr>
          <w:rFonts w:ascii="Arial" w:hAnsi="Arial" w:cs="Arial"/>
        </w:rPr>
      </w:pPr>
      <w:r w:rsidRPr="00281044">
        <w:rPr>
          <w:rFonts w:ascii="Arial" w:hAnsi="Arial" w:cs="Arial"/>
        </w:rPr>
        <w:t xml:space="preserve">Lloyd’s </w:t>
      </w:r>
      <w:r w:rsidR="00B35D35" w:rsidRPr="00281044">
        <w:rPr>
          <w:rFonts w:ascii="Arial" w:hAnsi="Arial" w:cs="Arial"/>
        </w:rPr>
        <w:t xml:space="preserve">has an </w:t>
      </w:r>
      <w:r w:rsidR="00497ED6" w:rsidRPr="00281044">
        <w:rPr>
          <w:rFonts w:ascii="Arial" w:hAnsi="Arial" w:cs="Arial"/>
        </w:rPr>
        <w:t xml:space="preserve">approved </w:t>
      </w:r>
      <w:r w:rsidRPr="00281044">
        <w:rPr>
          <w:rFonts w:ascii="Arial" w:hAnsi="Arial" w:cs="Arial"/>
        </w:rPr>
        <w:t xml:space="preserve">application </w:t>
      </w:r>
      <w:r w:rsidR="00B35D35" w:rsidRPr="00281044">
        <w:rPr>
          <w:rFonts w:ascii="Arial" w:hAnsi="Arial" w:cs="Arial"/>
        </w:rPr>
        <w:t xml:space="preserve">with the PRA </w:t>
      </w:r>
      <w:r w:rsidRPr="00281044">
        <w:rPr>
          <w:rFonts w:ascii="Arial" w:hAnsi="Arial" w:cs="Arial"/>
        </w:rPr>
        <w:t xml:space="preserve">for a rule modification. </w:t>
      </w:r>
      <w:r w:rsidR="00497ED6" w:rsidRPr="00281044">
        <w:rPr>
          <w:rFonts w:ascii="Arial" w:hAnsi="Arial" w:cs="Arial"/>
        </w:rPr>
        <w:t>T</w:t>
      </w:r>
      <w:r w:rsidRPr="00281044">
        <w:rPr>
          <w:rFonts w:ascii="Arial" w:hAnsi="Arial" w:cs="Arial"/>
        </w:rPr>
        <w:t xml:space="preserve">he Society of Lloyd’s and Lloyd’s syndicates </w:t>
      </w:r>
      <w:r w:rsidR="00497ED6" w:rsidRPr="00281044">
        <w:rPr>
          <w:rFonts w:ascii="Arial" w:hAnsi="Arial" w:cs="Arial"/>
        </w:rPr>
        <w:t>are</w:t>
      </w:r>
      <w:r w:rsidRPr="00281044">
        <w:rPr>
          <w:rFonts w:ascii="Arial" w:hAnsi="Arial" w:cs="Arial"/>
        </w:rPr>
        <w:t xml:space="preserve"> required to report under the new taxonomy from Q4 2025. As part of the implementation, Lloyd’s </w:t>
      </w:r>
      <w:r w:rsidR="00A54036" w:rsidRPr="00F94045">
        <w:rPr>
          <w:rFonts w:ascii="Arial" w:hAnsi="Arial" w:cs="Arial"/>
        </w:rPr>
        <w:t xml:space="preserve">are </w:t>
      </w:r>
      <w:r w:rsidRPr="00281044">
        <w:rPr>
          <w:rFonts w:ascii="Arial" w:hAnsi="Arial" w:cs="Arial"/>
        </w:rPr>
        <w:t>required to submit to the PRA data under the new taxonomy for year-end 2024 reporting</w:t>
      </w:r>
      <w:r w:rsidR="00F563B2" w:rsidRPr="00F94045">
        <w:rPr>
          <w:rFonts w:ascii="Arial" w:hAnsi="Arial" w:cs="Arial"/>
        </w:rPr>
        <w:t>.</w:t>
      </w:r>
    </w:p>
    <w:p w14:paraId="29679186" w14:textId="77777777" w:rsidR="00A60DCA" w:rsidRDefault="00A60DCA" w:rsidP="002D5FA6">
      <w:pPr>
        <w:jc w:val="both"/>
        <w:rPr>
          <w:rFonts w:ascii="Arial" w:hAnsi="Arial" w:cs="Arial"/>
        </w:rPr>
      </w:pPr>
    </w:p>
    <w:p w14:paraId="112F5929" w14:textId="54560A80" w:rsidR="00A60DCA" w:rsidRPr="00F94045" w:rsidRDefault="00A60DCA" w:rsidP="002D5FA6">
      <w:pPr>
        <w:jc w:val="both"/>
        <w:rPr>
          <w:rFonts w:ascii="Arial" w:hAnsi="Arial" w:cs="Arial"/>
        </w:rPr>
      </w:pPr>
      <w:r>
        <w:rPr>
          <w:rFonts w:ascii="Arial" w:hAnsi="Arial" w:cs="Arial"/>
        </w:rPr>
        <w:t xml:space="preserve">The Lloyd’s </w:t>
      </w:r>
      <w:hyperlink r:id="rId25" w:history="1">
        <w:r w:rsidRPr="00A60DCA">
          <w:rPr>
            <w:rStyle w:val="Hyperlink"/>
            <w:rFonts w:ascii="Arial" w:hAnsi="Arial" w:cs="Arial"/>
          </w:rPr>
          <w:t>Solvency UK</w:t>
        </w:r>
      </w:hyperlink>
      <w:r>
        <w:rPr>
          <w:rFonts w:ascii="Arial" w:hAnsi="Arial" w:cs="Arial"/>
        </w:rPr>
        <w:t xml:space="preserve"> website sets out the instructions for the year-end 2024 reporting process.</w:t>
      </w:r>
    </w:p>
    <w:p w14:paraId="441A2EB6" w14:textId="77777777" w:rsidR="00F563B2" w:rsidRPr="00F94045" w:rsidRDefault="00F563B2" w:rsidP="002D5FA6">
      <w:pPr>
        <w:jc w:val="both"/>
        <w:rPr>
          <w:rFonts w:ascii="Arial" w:hAnsi="Arial" w:cs="Arial"/>
        </w:rPr>
      </w:pPr>
    </w:p>
    <w:p w14:paraId="1DC5A383" w14:textId="7A29E08E" w:rsidR="00A60DCA" w:rsidRDefault="00F563B2" w:rsidP="00F563B2">
      <w:pPr>
        <w:jc w:val="both"/>
        <w:rPr>
          <w:rFonts w:ascii="Arial" w:hAnsi="Arial" w:cs="Arial"/>
        </w:rPr>
      </w:pPr>
      <w:r w:rsidRPr="00F94045">
        <w:rPr>
          <w:rFonts w:ascii="Arial" w:hAnsi="Arial" w:cs="Arial"/>
        </w:rPr>
        <w:t xml:space="preserve">Managing agents are advised to continue analysing the </w:t>
      </w:r>
      <w:hyperlink r:id="rId26" w:history="1">
        <w:r w:rsidRPr="00F94045">
          <w:rPr>
            <w:rStyle w:val="Hyperlink"/>
            <w:rFonts w:ascii="Arial" w:hAnsi="Arial" w:cs="Arial"/>
          </w:rPr>
          <w:t>new reporting requirements</w:t>
        </w:r>
      </w:hyperlink>
      <w:r w:rsidRPr="00F94045">
        <w:rPr>
          <w:rFonts w:ascii="Arial" w:hAnsi="Arial" w:cs="Arial"/>
        </w:rPr>
        <w:t xml:space="preserve"> and close any data gaps identified.</w:t>
      </w:r>
    </w:p>
    <w:p w14:paraId="2994127A" w14:textId="77777777" w:rsidR="00A60DCA" w:rsidRDefault="00A60DCA" w:rsidP="00F563B2">
      <w:pPr>
        <w:jc w:val="both"/>
        <w:rPr>
          <w:rFonts w:ascii="Arial" w:hAnsi="Arial" w:cs="Arial"/>
        </w:rPr>
      </w:pPr>
    </w:p>
    <w:p w14:paraId="413C13FC" w14:textId="7B78F7EB" w:rsidR="00497ED6" w:rsidRPr="00F94045" w:rsidRDefault="00497ED6" w:rsidP="002D5FA6">
      <w:pPr>
        <w:jc w:val="both"/>
        <w:rPr>
          <w:rFonts w:ascii="Arial" w:hAnsi="Arial" w:cs="Arial"/>
          <w:highlight w:val="yellow"/>
        </w:rPr>
      </w:pPr>
      <w:r w:rsidRPr="00281044">
        <w:rPr>
          <w:rFonts w:ascii="Arial" w:hAnsi="Arial" w:cs="Arial"/>
        </w:rPr>
        <w:t>In the meantime, there will be minimal changes to Core Market Returns (CMR) in relation to Solvency UK during 202</w:t>
      </w:r>
      <w:r w:rsidR="005245BB">
        <w:rPr>
          <w:rFonts w:ascii="Arial" w:hAnsi="Arial" w:cs="Arial"/>
        </w:rPr>
        <w:t>5</w:t>
      </w:r>
      <w:r w:rsidRPr="00281044">
        <w:rPr>
          <w:rFonts w:ascii="Arial" w:hAnsi="Arial" w:cs="Arial"/>
        </w:rPr>
        <w:t xml:space="preserve">. Discussions are ongoing with the PRA as to whether any additional ad-hoc information will be required to be collected separately. </w:t>
      </w:r>
    </w:p>
    <w:p w14:paraId="4BDE5040" w14:textId="77777777" w:rsidR="00497ED6" w:rsidRPr="00F94045" w:rsidRDefault="00497ED6" w:rsidP="002D5FA6">
      <w:pPr>
        <w:jc w:val="both"/>
        <w:rPr>
          <w:rFonts w:ascii="Arial" w:hAnsi="Arial" w:cs="Arial"/>
          <w:highlight w:val="yellow"/>
        </w:rPr>
      </w:pPr>
    </w:p>
    <w:p w14:paraId="24DB8D39" w14:textId="77777777" w:rsidR="00203139" w:rsidRDefault="00203139" w:rsidP="00BA0071">
      <w:pPr>
        <w:jc w:val="both"/>
        <w:rPr>
          <w:rFonts w:ascii="Arial" w:hAnsi="Arial" w:cs="Arial"/>
        </w:rPr>
      </w:pP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21BB130" w14:textId="77777777" w:rsidR="004A1C88" w:rsidRPr="001761D8" w:rsidRDefault="004A1C88" w:rsidP="00D735DB">
      <w:pPr>
        <w:spacing w:after="120" w:line="280" w:lineRule="atLeast"/>
        <w:rPr>
          <w:rFonts w:ascii="Arial" w:hAnsi="Arial" w:cs="Arial"/>
          <w:b/>
        </w:rPr>
      </w:pPr>
      <w:r w:rsidRPr="001761D8">
        <w:rPr>
          <w:rFonts w:ascii="Arial" w:hAnsi="Arial" w:cs="Arial"/>
          <w:b/>
        </w:rPr>
        <w:t>1.1</w:t>
      </w:r>
      <w:r w:rsidRPr="001761D8">
        <w:rPr>
          <w:rFonts w:ascii="Arial" w:hAnsi="Arial" w:cs="Arial"/>
          <w:b/>
        </w:rPr>
        <w:tab/>
      </w:r>
      <w:r w:rsidR="00AF1ECE">
        <w:rPr>
          <w:rFonts w:ascii="Arial" w:hAnsi="Arial" w:cs="Arial"/>
          <w:b/>
        </w:rPr>
        <w:t>Solvency II</w:t>
      </w:r>
    </w:p>
    <w:p w14:paraId="5B6966E3"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59CF43E"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2152F04D" w14:textId="77777777"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This is necessary to enable a harmonised approach to supervision across the European Union as well as improving the consistency of publicly disclosed information. </w:t>
      </w:r>
    </w:p>
    <w:p w14:paraId="05D98488" w14:textId="1274163D"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w:t>
      </w:r>
    </w:p>
    <w:p w14:paraId="04BDFE9F"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07DDC97F" w14:textId="13918760" w:rsidR="009074DA" w:rsidRPr="009074DA" w:rsidRDefault="009074DA" w:rsidP="009074DA">
      <w:pPr>
        <w:spacing w:after="120" w:line="280" w:lineRule="atLeast"/>
        <w:ind w:left="720" w:hanging="720"/>
        <w:rPr>
          <w:rFonts w:ascii="Arial" w:hAnsi="Arial" w:cs="Arial"/>
        </w:rPr>
      </w:pPr>
      <w:r w:rsidRPr="16CC440F">
        <w:rPr>
          <w:rFonts w:ascii="Arial" w:hAnsi="Arial" w:cs="Arial"/>
        </w:rPr>
        <w:t>1.3.1</w:t>
      </w:r>
      <w:r>
        <w:tab/>
      </w:r>
      <w:r w:rsidRPr="16CC440F">
        <w:rPr>
          <w:rFonts w:ascii="Arial" w:hAnsi="Arial" w:cs="Arial"/>
        </w:rPr>
        <w: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w:t>
      </w:r>
      <w:r w:rsidR="0AF80C30" w:rsidRPr="16CC440F">
        <w:rPr>
          <w:rFonts w:ascii="Arial" w:hAnsi="Arial" w:cs="Arial"/>
        </w:rPr>
        <w:t>,</w:t>
      </w:r>
      <w:r w:rsidRPr="16CC440F">
        <w:rPr>
          <w:rFonts w:ascii="Arial" w:hAnsi="Arial" w:cs="Arial"/>
        </w:rPr>
        <w:t xml:space="preserve"> managing agents are required to complete Solvency II Pillar 3 returns to Lloyd’s on a similar basis to other European Union insurers.</w:t>
      </w:r>
    </w:p>
    <w:p w14:paraId="6287B54C" w14:textId="0A85E380"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0B430C3D" w14:textId="77777777" w:rsidR="00EC293C"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p>
    <w:p w14:paraId="26393BA8" w14:textId="77777777" w:rsidR="00D91A90" w:rsidRPr="004879CA" w:rsidRDefault="009074DA" w:rsidP="009074DA">
      <w:pPr>
        <w:spacing w:after="120" w:line="280" w:lineRule="atLeast"/>
        <w:ind w:left="720" w:hanging="720"/>
        <w:rPr>
          <w:rFonts w:ascii="Arial" w:hAnsi="Arial" w:cs="Arial"/>
          <w:color w:val="000000" w:themeColor="text1"/>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r>
      <w:r w:rsidRPr="004879CA">
        <w:rPr>
          <w:rFonts w:ascii="Arial" w:hAnsi="Arial" w:cs="Arial"/>
          <w:color w:val="000000" w:themeColor="text1"/>
        </w:rPr>
        <w:t>This basis of submitting to the PRA affects the timetable for syndicates reporting to Lloyd’s. In order to provide Lloyd’s with sufficient time to review and aggregate the syndicate level data, as well as adding the data held centrally, go through Lloyd’s governance process and audit requirements (</w:t>
      </w:r>
      <w:r w:rsidR="006B2F67" w:rsidRPr="004879CA">
        <w:rPr>
          <w:rFonts w:ascii="Arial" w:hAnsi="Arial" w:cs="Arial"/>
          <w:color w:val="000000" w:themeColor="text1"/>
        </w:rPr>
        <w:t xml:space="preserve">applicable to </w:t>
      </w:r>
      <w:r w:rsidRPr="004879CA">
        <w:rPr>
          <w:rFonts w:ascii="Arial" w:hAnsi="Arial" w:cs="Arial"/>
          <w:color w:val="000000" w:themeColor="text1"/>
        </w:rPr>
        <w:t>some of the annual data), it is necessary for Lloyd’s to collect returns from syndicates in advance of Lloyd’s (and other insurers’) submission deadline to the PRA.</w:t>
      </w:r>
    </w:p>
    <w:p w14:paraId="60E8B127" w14:textId="2BBC7AC3" w:rsidR="009B4F4E" w:rsidRPr="004879CA" w:rsidRDefault="009074DA" w:rsidP="009B4F4E">
      <w:pPr>
        <w:spacing w:after="120" w:line="280" w:lineRule="atLeast"/>
        <w:ind w:left="720" w:hanging="720"/>
        <w:rPr>
          <w:rFonts w:ascii="Arial" w:hAnsi="Arial" w:cs="Arial"/>
          <w:b/>
          <w:color w:val="000000" w:themeColor="text1"/>
        </w:rPr>
      </w:pPr>
      <w:r w:rsidRPr="004879CA">
        <w:rPr>
          <w:rFonts w:ascii="Arial" w:hAnsi="Arial" w:cs="Arial"/>
          <w:b/>
          <w:color w:val="000000" w:themeColor="text1"/>
        </w:rPr>
        <w:t>1.</w:t>
      </w:r>
      <w:r w:rsidR="009B4F4E" w:rsidRPr="004879CA">
        <w:rPr>
          <w:rFonts w:ascii="Arial" w:hAnsi="Arial" w:cs="Arial"/>
          <w:b/>
          <w:color w:val="000000" w:themeColor="text1"/>
        </w:rPr>
        <w:t>4</w:t>
      </w:r>
      <w:r w:rsidR="009B4F4E" w:rsidRPr="004879CA">
        <w:rPr>
          <w:rFonts w:ascii="Arial" w:hAnsi="Arial" w:cs="Arial"/>
          <w:b/>
          <w:color w:val="000000" w:themeColor="text1"/>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6B515D00"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11" w:name="_Toc352149648"/>
      <w:bookmarkStart w:id="12" w:name="_Toc352149649"/>
      <w:bookmarkStart w:id="13" w:name="_Toc343006165"/>
      <w:bookmarkStart w:id="14" w:name="_Toc343006452"/>
      <w:bookmarkStart w:id="15" w:name="_Toc343007319"/>
      <w:bookmarkStart w:id="16" w:name="_Toc343172112"/>
      <w:bookmarkStart w:id="17" w:name="_Toc343172294"/>
      <w:bookmarkStart w:id="18" w:name="_Toc343172464"/>
      <w:bookmarkStart w:id="19" w:name="_Toc343178354"/>
      <w:bookmarkStart w:id="20" w:name="_Toc343181364"/>
      <w:bookmarkStart w:id="21" w:name="_Toc343181612"/>
      <w:bookmarkStart w:id="22" w:name="_Toc343261654"/>
      <w:bookmarkStart w:id="23" w:name="_Toc343261812"/>
      <w:bookmarkStart w:id="24" w:name="_Toc343261970"/>
      <w:bookmarkStart w:id="25" w:name="_Toc343262128"/>
      <w:bookmarkStart w:id="26" w:name="_Toc343262283"/>
      <w:bookmarkStart w:id="27" w:name="_Toc343262437"/>
      <w:bookmarkStart w:id="28" w:name="_Toc343262580"/>
      <w:bookmarkStart w:id="29" w:name="_Toc343262900"/>
      <w:bookmarkStart w:id="30" w:name="_Toc343263618"/>
      <w:bookmarkStart w:id="31" w:name="_Toc343263742"/>
      <w:bookmarkStart w:id="32" w:name="_Toc343263865"/>
      <w:bookmarkStart w:id="33" w:name="_Toc343264002"/>
      <w:bookmarkStart w:id="34" w:name="_Toc343264293"/>
      <w:bookmarkStart w:id="35" w:name="_Toc343266047"/>
      <w:bookmarkStart w:id="36" w:name="_Toc343267186"/>
      <w:bookmarkStart w:id="37" w:name="_Toc343006166"/>
      <w:bookmarkStart w:id="38" w:name="_Toc343006453"/>
      <w:bookmarkStart w:id="39" w:name="_Toc343007320"/>
      <w:bookmarkStart w:id="40" w:name="_Toc343172113"/>
      <w:bookmarkStart w:id="41" w:name="_Toc343172295"/>
      <w:bookmarkStart w:id="42" w:name="_Toc343172465"/>
      <w:bookmarkStart w:id="43" w:name="_Toc343178355"/>
      <w:bookmarkStart w:id="44" w:name="_Toc343181365"/>
      <w:bookmarkStart w:id="45" w:name="_Toc343181613"/>
      <w:bookmarkStart w:id="46" w:name="_Toc343261655"/>
      <w:bookmarkStart w:id="47" w:name="_Toc343261813"/>
      <w:bookmarkStart w:id="48" w:name="_Toc343261971"/>
      <w:bookmarkStart w:id="49" w:name="_Toc343262129"/>
      <w:bookmarkStart w:id="50" w:name="_Toc343262284"/>
      <w:bookmarkStart w:id="51" w:name="_Toc343262438"/>
      <w:bookmarkStart w:id="52" w:name="_Toc343262581"/>
      <w:bookmarkStart w:id="53" w:name="_Toc343262901"/>
      <w:bookmarkStart w:id="54" w:name="_Toc343263619"/>
      <w:bookmarkStart w:id="55" w:name="_Toc343263743"/>
      <w:bookmarkStart w:id="56" w:name="_Toc343263866"/>
      <w:bookmarkStart w:id="57" w:name="_Toc343264003"/>
      <w:bookmarkStart w:id="58" w:name="_Toc343264294"/>
      <w:bookmarkStart w:id="59" w:name="_Toc343266048"/>
      <w:bookmarkStart w:id="60" w:name="_Toc343267187"/>
      <w:bookmarkStart w:id="61" w:name="_Toc343006167"/>
      <w:bookmarkStart w:id="62" w:name="_Toc343006454"/>
      <w:bookmarkStart w:id="63" w:name="_Toc343007321"/>
      <w:bookmarkStart w:id="64" w:name="_Toc343172114"/>
      <w:bookmarkStart w:id="65" w:name="_Toc343172296"/>
      <w:bookmarkStart w:id="66" w:name="_Toc343172466"/>
      <w:bookmarkStart w:id="67" w:name="_Toc343178356"/>
      <w:bookmarkStart w:id="68" w:name="_Toc343181366"/>
      <w:bookmarkStart w:id="69" w:name="_Toc343181614"/>
      <w:bookmarkStart w:id="70" w:name="_Toc343261656"/>
      <w:bookmarkStart w:id="71" w:name="_Toc343261814"/>
      <w:bookmarkStart w:id="72" w:name="_Toc343261972"/>
      <w:bookmarkStart w:id="73" w:name="_Toc343262130"/>
      <w:bookmarkStart w:id="74" w:name="_Toc343262285"/>
      <w:bookmarkStart w:id="75" w:name="_Toc343262439"/>
      <w:bookmarkStart w:id="76" w:name="_Toc343262582"/>
      <w:bookmarkStart w:id="77" w:name="_Toc343262902"/>
      <w:bookmarkStart w:id="78" w:name="_Toc343263620"/>
      <w:bookmarkStart w:id="79" w:name="_Toc343263744"/>
      <w:bookmarkStart w:id="80" w:name="_Toc343263867"/>
      <w:bookmarkStart w:id="81" w:name="_Toc343264004"/>
      <w:bookmarkStart w:id="82" w:name="_Toc343264295"/>
      <w:bookmarkStart w:id="83" w:name="_Toc343266049"/>
      <w:bookmarkStart w:id="84" w:name="_Toc343267188"/>
      <w:bookmarkStart w:id="85" w:name="_Toc343006168"/>
      <w:bookmarkStart w:id="86" w:name="_Toc343006455"/>
      <w:bookmarkStart w:id="87" w:name="_Toc343007322"/>
      <w:bookmarkStart w:id="88" w:name="_Toc343172115"/>
      <w:bookmarkStart w:id="89" w:name="_Toc343172297"/>
      <w:bookmarkStart w:id="90" w:name="_Toc343172467"/>
      <w:bookmarkStart w:id="91" w:name="_Toc343178357"/>
      <w:bookmarkStart w:id="92" w:name="_Toc343181367"/>
      <w:bookmarkStart w:id="93" w:name="_Toc343181615"/>
      <w:bookmarkStart w:id="94" w:name="_Toc343261657"/>
      <w:bookmarkStart w:id="95" w:name="_Toc343261815"/>
      <w:bookmarkStart w:id="96" w:name="_Toc343261973"/>
      <w:bookmarkStart w:id="97" w:name="_Toc343262131"/>
      <w:bookmarkStart w:id="98" w:name="_Toc343262286"/>
      <w:bookmarkStart w:id="99" w:name="_Toc343262440"/>
      <w:bookmarkStart w:id="100" w:name="_Toc343262583"/>
      <w:bookmarkStart w:id="101" w:name="_Toc343262903"/>
      <w:bookmarkStart w:id="102" w:name="_Toc343263621"/>
      <w:bookmarkStart w:id="103" w:name="_Toc343263745"/>
      <w:bookmarkStart w:id="104" w:name="_Toc343263868"/>
      <w:bookmarkStart w:id="105" w:name="_Toc343264005"/>
      <w:bookmarkStart w:id="106" w:name="_Toc343264296"/>
      <w:bookmarkStart w:id="107" w:name="_Toc343266050"/>
      <w:bookmarkStart w:id="108" w:name="_Toc343267189"/>
      <w:bookmarkStart w:id="109" w:name="_Toc343006169"/>
      <w:bookmarkStart w:id="110" w:name="_Toc343006456"/>
      <w:bookmarkStart w:id="111" w:name="_Toc343007323"/>
      <w:bookmarkStart w:id="112" w:name="_Toc343172116"/>
      <w:bookmarkStart w:id="113" w:name="_Toc343172298"/>
      <w:bookmarkStart w:id="114" w:name="_Toc343172468"/>
      <w:bookmarkStart w:id="115" w:name="_Toc343178358"/>
      <w:bookmarkStart w:id="116" w:name="_Toc343181368"/>
      <w:bookmarkStart w:id="117" w:name="_Toc343181616"/>
      <w:bookmarkStart w:id="118" w:name="_Toc343261658"/>
      <w:bookmarkStart w:id="119" w:name="_Toc343261816"/>
      <w:bookmarkStart w:id="120" w:name="_Toc343261974"/>
      <w:bookmarkStart w:id="121" w:name="_Toc343262132"/>
      <w:bookmarkStart w:id="122" w:name="_Toc343262287"/>
      <w:bookmarkStart w:id="123" w:name="_Toc343262441"/>
      <w:bookmarkStart w:id="124" w:name="_Toc343262584"/>
      <w:bookmarkStart w:id="125" w:name="_Toc343262904"/>
      <w:bookmarkStart w:id="126" w:name="_Toc343263622"/>
      <w:bookmarkStart w:id="127" w:name="_Toc343263746"/>
      <w:bookmarkStart w:id="128" w:name="_Toc343263869"/>
      <w:bookmarkStart w:id="129" w:name="_Toc343264006"/>
      <w:bookmarkStart w:id="130" w:name="_Toc343264297"/>
      <w:bookmarkStart w:id="131" w:name="_Toc343266051"/>
      <w:bookmarkStart w:id="132" w:name="_Toc343267190"/>
      <w:bookmarkStart w:id="133" w:name="_Toc343006170"/>
      <w:bookmarkStart w:id="134" w:name="_Toc343006457"/>
      <w:bookmarkStart w:id="135" w:name="_Toc343007324"/>
      <w:bookmarkStart w:id="136" w:name="_Toc343172117"/>
      <w:bookmarkStart w:id="137" w:name="_Toc343172299"/>
      <w:bookmarkStart w:id="138" w:name="_Toc343172469"/>
      <w:bookmarkStart w:id="139" w:name="_Toc343178359"/>
      <w:bookmarkStart w:id="140" w:name="_Toc343181369"/>
      <w:bookmarkStart w:id="141" w:name="_Toc343181617"/>
      <w:bookmarkStart w:id="142" w:name="_Toc343261659"/>
      <w:bookmarkStart w:id="143" w:name="_Toc343261817"/>
      <w:bookmarkStart w:id="144" w:name="_Toc343261975"/>
      <w:bookmarkStart w:id="145" w:name="_Toc343262133"/>
      <w:bookmarkStart w:id="146" w:name="_Toc343262288"/>
      <w:bookmarkStart w:id="147" w:name="_Toc343262442"/>
      <w:bookmarkStart w:id="148" w:name="_Toc343262585"/>
      <w:bookmarkStart w:id="149" w:name="_Toc343262905"/>
      <w:bookmarkStart w:id="150" w:name="_Toc343263623"/>
      <w:bookmarkStart w:id="151" w:name="_Toc343263747"/>
      <w:bookmarkStart w:id="152" w:name="_Toc343263870"/>
      <w:bookmarkStart w:id="153" w:name="_Toc343264007"/>
      <w:bookmarkStart w:id="154" w:name="_Toc343264298"/>
      <w:bookmarkStart w:id="155" w:name="_Toc343266052"/>
      <w:bookmarkStart w:id="156" w:name="_Toc343267191"/>
      <w:bookmarkStart w:id="157" w:name="_Toc343006171"/>
      <w:bookmarkStart w:id="158" w:name="_Toc343006458"/>
      <w:bookmarkStart w:id="159" w:name="_Toc343007325"/>
      <w:bookmarkStart w:id="160" w:name="_Toc343172118"/>
      <w:bookmarkStart w:id="161" w:name="_Toc343172300"/>
      <w:bookmarkStart w:id="162" w:name="_Toc343172470"/>
      <w:bookmarkStart w:id="163" w:name="_Toc343178360"/>
      <w:bookmarkStart w:id="164" w:name="_Toc343181370"/>
      <w:bookmarkStart w:id="165" w:name="_Toc343181618"/>
      <w:bookmarkStart w:id="166" w:name="_Toc343261660"/>
      <w:bookmarkStart w:id="167" w:name="_Toc343261818"/>
      <w:bookmarkStart w:id="168" w:name="_Toc343261976"/>
      <w:bookmarkStart w:id="169" w:name="_Toc343262134"/>
      <w:bookmarkStart w:id="170" w:name="_Toc343262289"/>
      <w:bookmarkStart w:id="171" w:name="_Toc343262443"/>
      <w:bookmarkStart w:id="172" w:name="_Toc343262586"/>
      <w:bookmarkStart w:id="173" w:name="_Toc343262906"/>
      <w:bookmarkStart w:id="174" w:name="_Toc343263624"/>
      <w:bookmarkStart w:id="175" w:name="_Toc343263748"/>
      <w:bookmarkStart w:id="176" w:name="_Toc343263871"/>
      <w:bookmarkStart w:id="177" w:name="_Toc343264008"/>
      <w:bookmarkStart w:id="178" w:name="_Toc343264299"/>
      <w:bookmarkStart w:id="179" w:name="_Toc343266053"/>
      <w:bookmarkStart w:id="180" w:name="_Toc343267192"/>
      <w:bookmarkStart w:id="181" w:name="_Toc343006172"/>
      <w:bookmarkStart w:id="182" w:name="_Toc343006459"/>
      <w:bookmarkStart w:id="183" w:name="_Toc343007326"/>
      <w:bookmarkStart w:id="184" w:name="_Toc343172119"/>
      <w:bookmarkStart w:id="185" w:name="_Toc343172301"/>
      <w:bookmarkStart w:id="186" w:name="_Toc343172471"/>
      <w:bookmarkStart w:id="187" w:name="_Toc343178361"/>
      <w:bookmarkStart w:id="188" w:name="_Toc343181371"/>
      <w:bookmarkStart w:id="189" w:name="_Toc343181619"/>
      <w:bookmarkStart w:id="190" w:name="_Toc343261661"/>
      <w:bookmarkStart w:id="191" w:name="_Toc343261819"/>
      <w:bookmarkStart w:id="192" w:name="_Toc343261977"/>
      <w:bookmarkStart w:id="193" w:name="_Toc343262135"/>
      <w:bookmarkStart w:id="194" w:name="_Toc343262290"/>
      <w:bookmarkStart w:id="195" w:name="_Toc343262444"/>
      <w:bookmarkStart w:id="196" w:name="_Toc343262587"/>
      <w:bookmarkStart w:id="197" w:name="_Toc343262907"/>
      <w:bookmarkStart w:id="198" w:name="_Toc343263625"/>
      <w:bookmarkStart w:id="199" w:name="_Toc343263749"/>
      <w:bookmarkStart w:id="200" w:name="_Toc343263872"/>
      <w:bookmarkStart w:id="201" w:name="_Toc343264009"/>
      <w:bookmarkStart w:id="202" w:name="_Toc343264300"/>
      <w:bookmarkStart w:id="203" w:name="_Toc343266054"/>
      <w:bookmarkStart w:id="204" w:name="_Toc343267193"/>
      <w:bookmarkStart w:id="205" w:name="_Toc343006173"/>
      <w:bookmarkStart w:id="206" w:name="_Toc343006460"/>
      <w:bookmarkStart w:id="207" w:name="_Toc343007327"/>
      <w:bookmarkStart w:id="208" w:name="_Toc343172120"/>
      <w:bookmarkStart w:id="209" w:name="_Toc343172302"/>
      <w:bookmarkStart w:id="210" w:name="_Toc343172472"/>
      <w:bookmarkStart w:id="211" w:name="_Toc343178362"/>
      <w:bookmarkStart w:id="212" w:name="_Toc343181372"/>
      <w:bookmarkStart w:id="213" w:name="_Toc343181620"/>
      <w:bookmarkStart w:id="214" w:name="_Toc343261662"/>
      <w:bookmarkStart w:id="215" w:name="_Toc343261820"/>
      <w:bookmarkStart w:id="216" w:name="_Toc343261978"/>
      <w:bookmarkStart w:id="217" w:name="_Toc343262136"/>
      <w:bookmarkStart w:id="218" w:name="_Toc343262291"/>
      <w:bookmarkStart w:id="219" w:name="_Toc343262445"/>
      <w:bookmarkStart w:id="220" w:name="_Toc343262588"/>
      <w:bookmarkStart w:id="221" w:name="_Toc343262908"/>
      <w:bookmarkStart w:id="222" w:name="_Toc343263626"/>
      <w:bookmarkStart w:id="223" w:name="_Toc343263750"/>
      <w:bookmarkStart w:id="224" w:name="_Toc343263873"/>
      <w:bookmarkStart w:id="225" w:name="_Toc343264010"/>
      <w:bookmarkStart w:id="226" w:name="_Toc343264301"/>
      <w:bookmarkStart w:id="227" w:name="_Toc343266055"/>
      <w:bookmarkStart w:id="228" w:name="_Toc343267194"/>
      <w:bookmarkStart w:id="229" w:name="_Toc343006174"/>
      <w:bookmarkStart w:id="230" w:name="_Toc343006461"/>
      <w:bookmarkStart w:id="231" w:name="_Toc343007328"/>
      <w:bookmarkStart w:id="232" w:name="_Toc343172121"/>
      <w:bookmarkStart w:id="233" w:name="_Toc343172303"/>
      <w:bookmarkStart w:id="234" w:name="_Toc343172473"/>
      <w:bookmarkStart w:id="235" w:name="_Toc343178363"/>
      <w:bookmarkStart w:id="236" w:name="_Toc343181373"/>
      <w:bookmarkStart w:id="237" w:name="_Toc343181621"/>
      <w:bookmarkStart w:id="238" w:name="_Toc343261663"/>
      <w:bookmarkStart w:id="239" w:name="_Toc343261821"/>
      <w:bookmarkStart w:id="240" w:name="_Toc343261979"/>
      <w:bookmarkStart w:id="241" w:name="_Toc343262137"/>
      <w:bookmarkStart w:id="242" w:name="_Toc343262292"/>
      <w:bookmarkStart w:id="243" w:name="_Toc343262446"/>
      <w:bookmarkStart w:id="244" w:name="_Toc343262589"/>
      <w:bookmarkStart w:id="245" w:name="_Toc343262909"/>
      <w:bookmarkStart w:id="246" w:name="_Toc343263627"/>
      <w:bookmarkStart w:id="247" w:name="_Toc343263751"/>
      <w:bookmarkStart w:id="248" w:name="_Toc343263874"/>
      <w:bookmarkStart w:id="249" w:name="_Toc343264011"/>
      <w:bookmarkStart w:id="250" w:name="_Toc343264302"/>
      <w:bookmarkStart w:id="251" w:name="_Toc343266056"/>
      <w:bookmarkStart w:id="252" w:name="_Toc343267195"/>
      <w:bookmarkStart w:id="253" w:name="_Toc343006175"/>
      <w:bookmarkStart w:id="254" w:name="_Toc343006462"/>
      <w:bookmarkStart w:id="255" w:name="_Toc343007329"/>
      <w:bookmarkStart w:id="256" w:name="_Toc343172122"/>
      <w:bookmarkStart w:id="257" w:name="_Toc343172304"/>
      <w:bookmarkStart w:id="258" w:name="_Toc343172474"/>
      <w:bookmarkStart w:id="259" w:name="_Toc343178364"/>
      <w:bookmarkStart w:id="260" w:name="_Toc343181374"/>
      <w:bookmarkStart w:id="261" w:name="_Toc343181622"/>
      <w:bookmarkStart w:id="262" w:name="_Toc343261664"/>
      <w:bookmarkStart w:id="263" w:name="_Toc343261822"/>
      <w:bookmarkStart w:id="264" w:name="_Toc343261980"/>
      <w:bookmarkStart w:id="265" w:name="_Toc343262138"/>
      <w:bookmarkStart w:id="266" w:name="_Toc343262293"/>
      <w:bookmarkStart w:id="267" w:name="_Toc343262447"/>
      <w:bookmarkStart w:id="268" w:name="_Toc343262590"/>
      <w:bookmarkStart w:id="269" w:name="_Toc343262910"/>
      <w:bookmarkStart w:id="270" w:name="_Toc343263628"/>
      <w:bookmarkStart w:id="271" w:name="_Toc343263752"/>
      <w:bookmarkStart w:id="272" w:name="_Toc343263875"/>
      <w:bookmarkStart w:id="273" w:name="_Toc343264012"/>
      <w:bookmarkStart w:id="274" w:name="_Toc343264303"/>
      <w:bookmarkStart w:id="275" w:name="_Toc343266057"/>
      <w:bookmarkStart w:id="276" w:name="_Toc343267196"/>
      <w:bookmarkStart w:id="277" w:name="_Toc343006176"/>
      <w:bookmarkStart w:id="278" w:name="_Toc343006463"/>
      <w:bookmarkStart w:id="279" w:name="_Toc343007330"/>
      <w:bookmarkStart w:id="280" w:name="_Toc343172123"/>
      <w:bookmarkStart w:id="281" w:name="_Toc343172305"/>
      <w:bookmarkStart w:id="282" w:name="_Toc343172475"/>
      <w:bookmarkStart w:id="283" w:name="_Toc343178365"/>
      <w:bookmarkStart w:id="284" w:name="_Toc343181375"/>
      <w:bookmarkStart w:id="285" w:name="_Toc343181623"/>
      <w:bookmarkStart w:id="286" w:name="_Toc343261665"/>
      <w:bookmarkStart w:id="287" w:name="_Toc343261823"/>
      <w:bookmarkStart w:id="288" w:name="_Toc343261981"/>
      <w:bookmarkStart w:id="289" w:name="_Toc343262139"/>
      <w:bookmarkStart w:id="290" w:name="_Toc343262294"/>
      <w:bookmarkStart w:id="291" w:name="_Toc343262448"/>
      <w:bookmarkStart w:id="292" w:name="_Toc343262591"/>
      <w:bookmarkStart w:id="293" w:name="_Toc343262911"/>
      <w:bookmarkStart w:id="294" w:name="_Toc343263629"/>
      <w:bookmarkStart w:id="295" w:name="_Toc343263753"/>
      <w:bookmarkStart w:id="296" w:name="_Toc343263876"/>
      <w:bookmarkStart w:id="297" w:name="_Toc343264013"/>
      <w:bookmarkStart w:id="298" w:name="_Toc343264304"/>
      <w:bookmarkStart w:id="299" w:name="_Toc343266058"/>
      <w:bookmarkStart w:id="300" w:name="_Toc343267197"/>
      <w:bookmarkStart w:id="301" w:name="_Toc343006177"/>
      <w:bookmarkStart w:id="302" w:name="_Toc343006464"/>
      <w:bookmarkStart w:id="303" w:name="_Toc343007331"/>
      <w:bookmarkStart w:id="304" w:name="_Toc343172124"/>
      <w:bookmarkStart w:id="305" w:name="_Toc343172306"/>
      <w:bookmarkStart w:id="306" w:name="_Toc343172476"/>
      <w:bookmarkStart w:id="307" w:name="_Toc343178366"/>
      <w:bookmarkStart w:id="308" w:name="_Toc343181376"/>
      <w:bookmarkStart w:id="309" w:name="_Toc343181624"/>
      <w:bookmarkStart w:id="310" w:name="_Toc343261666"/>
      <w:bookmarkStart w:id="311" w:name="_Toc343261824"/>
      <w:bookmarkStart w:id="312" w:name="_Toc343261982"/>
      <w:bookmarkStart w:id="313" w:name="_Toc343262140"/>
      <w:bookmarkStart w:id="314" w:name="_Toc343262295"/>
      <w:bookmarkStart w:id="315" w:name="_Toc343262449"/>
      <w:bookmarkStart w:id="316" w:name="_Toc343262592"/>
      <w:bookmarkStart w:id="317" w:name="_Toc343262912"/>
      <w:bookmarkStart w:id="318" w:name="_Toc343263630"/>
      <w:bookmarkStart w:id="319" w:name="_Toc343263754"/>
      <w:bookmarkStart w:id="320" w:name="_Toc343263877"/>
      <w:bookmarkStart w:id="321" w:name="_Toc343264014"/>
      <w:bookmarkStart w:id="322" w:name="_Toc343264305"/>
      <w:bookmarkStart w:id="323" w:name="_Toc343266059"/>
      <w:bookmarkStart w:id="324" w:name="_Toc343267198"/>
      <w:bookmarkStart w:id="325" w:name="_Toc343006178"/>
      <w:bookmarkStart w:id="326" w:name="_Toc343006465"/>
      <w:bookmarkStart w:id="327" w:name="_Toc343007332"/>
      <w:bookmarkStart w:id="328" w:name="_Toc343172125"/>
      <w:bookmarkStart w:id="329" w:name="_Toc343172307"/>
      <w:bookmarkStart w:id="330" w:name="_Toc343172477"/>
      <w:bookmarkStart w:id="331" w:name="_Toc343178367"/>
      <w:bookmarkStart w:id="332" w:name="_Toc343181377"/>
      <w:bookmarkStart w:id="333" w:name="_Toc343181625"/>
      <w:bookmarkStart w:id="334" w:name="_Toc343261667"/>
      <w:bookmarkStart w:id="335" w:name="_Toc343261825"/>
      <w:bookmarkStart w:id="336" w:name="_Toc343261983"/>
      <w:bookmarkStart w:id="337" w:name="_Toc343262141"/>
      <w:bookmarkStart w:id="338" w:name="_Toc343262296"/>
      <w:bookmarkStart w:id="339" w:name="_Toc343262450"/>
      <w:bookmarkStart w:id="340" w:name="_Toc343262593"/>
      <w:bookmarkStart w:id="341" w:name="_Toc343262913"/>
      <w:bookmarkStart w:id="342" w:name="_Toc343263631"/>
      <w:bookmarkStart w:id="343" w:name="_Toc343263755"/>
      <w:bookmarkStart w:id="344" w:name="_Toc343263878"/>
      <w:bookmarkStart w:id="345" w:name="_Toc343264015"/>
      <w:bookmarkStart w:id="346" w:name="_Toc343264306"/>
      <w:bookmarkStart w:id="347" w:name="_Toc343266060"/>
      <w:bookmarkStart w:id="348" w:name="_Toc343267199"/>
      <w:bookmarkStart w:id="349" w:name="_Toc343006179"/>
      <w:bookmarkStart w:id="350" w:name="_Toc343006466"/>
      <w:bookmarkStart w:id="351" w:name="_Toc343007333"/>
      <w:bookmarkStart w:id="352" w:name="_Toc343172126"/>
      <w:bookmarkStart w:id="353" w:name="_Toc343172308"/>
      <w:bookmarkStart w:id="354" w:name="_Toc343172478"/>
      <w:bookmarkStart w:id="355" w:name="_Toc343178368"/>
      <w:bookmarkStart w:id="356" w:name="_Toc343181378"/>
      <w:bookmarkStart w:id="357" w:name="_Toc343181626"/>
      <w:bookmarkStart w:id="358" w:name="_Toc343261668"/>
      <w:bookmarkStart w:id="359" w:name="_Toc343261826"/>
      <w:bookmarkStart w:id="360" w:name="_Toc343261984"/>
      <w:bookmarkStart w:id="361" w:name="_Toc343262142"/>
      <w:bookmarkStart w:id="362" w:name="_Toc343262297"/>
      <w:bookmarkStart w:id="363" w:name="_Toc343262451"/>
      <w:bookmarkStart w:id="364" w:name="_Toc343262594"/>
      <w:bookmarkStart w:id="365" w:name="_Toc343262914"/>
      <w:bookmarkStart w:id="366" w:name="_Toc343263632"/>
      <w:bookmarkStart w:id="367" w:name="_Toc343263756"/>
      <w:bookmarkStart w:id="368" w:name="_Toc343263879"/>
      <w:bookmarkStart w:id="369" w:name="_Toc343264016"/>
      <w:bookmarkStart w:id="370" w:name="_Toc343264307"/>
      <w:bookmarkStart w:id="371" w:name="_Toc343266061"/>
      <w:bookmarkStart w:id="372" w:name="_Toc343267200"/>
      <w:bookmarkStart w:id="373" w:name="_Toc343006180"/>
      <w:bookmarkStart w:id="374" w:name="_Toc343006467"/>
      <w:bookmarkStart w:id="375" w:name="_Toc343007334"/>
      <w:bookmarkStart w:id="376" w:name="_Toc343172127"/>
      <w:bookmarkStart w:id="377" w:name="_Toc343172309"/>
      <w:bookmarkStart w:id="378" w:name="_Toc343172479"/>
      <w:bookmarkStart w:id="379" w:name="_Toc343178369"/>
      <w:bookmarkStart w:id="380" w:name="_Toc343181379"/>
      <w:bookmarkStart w:id="381" w:name="_Toc343181627"/>
      <w:bookmarkStart w:id="382" w:name="_Toc343261669"/>
      <w:bookmarkStart w:id="383" w:name="_Toc343261827"/>
      <w:bookmarkStart w:id="384" w:name="_Toc343261985"/>
      <w:bookmarkStart w:id="385" w:name="_Toc343262143"/>
      <w:bookmarkStart w:id="386" w:name="_Toc343262298"/>
      <w:bookmarkStart w:id="387" w:name="_Toc343262452"/>
      <w:bookmarkStart w:id="388" w:name="_Toc343262595"/>
      <w:bookmarkStart w:id="389" w:name="_Toc343262915"/>
      <w:bookmarkStart w:id="390" w:name="_Toc343263633"/>
      <w:bookmarkStart w:id="391" w:name="_Toc343263757"/>
      <w:bookmarkStart w:id="392" w:name="_Toc343263880"/>
      <w:bookmarkStart w:id="393" w:name="_Toc343264017"/>
      <w:bookmarkStart w:id="394" w:name="_Toc343264308"/>
      <w:bookmarkStart w:id="395" w:name="_Toc343266062"/>
      <w:bookmarkStart w:id="396" w:name="_Toc343267201"/>
      <w:bookmarkStart w:id="397" w:name="_Toc343006181"/>
      <w:bookmarkStart w:id="398" w:name="_Toc343006468"/>
      <w:bookmarkStart w:id="399" w:name="_Toc343007335"/>
      <w:bookmarkStart w:id="400" w:name="_Toc343172128"/>
      <w:bookmarkStart w:id="401" w:name="_Toc343172310"/>
      <w:bookmarkStart w:id="402" w:name="_Toc343172480"/>
      <w:bookmarkStart w:id="403" w:name="_Toc343178370"/>
      <w:bookmarkStart w:id="404" w:name="_Toc343181380"/>
      <w:bookmarkStart w:id="405" w:name="_Toc343181628"/>
      <w:bookmarkStart w:id="406" w:name="_Toc343261670"/>
      <w:bookmarkStart w:id="407" w:name="_Toc343261828"/>
      <w:bookmarkStart w:id="408" w:name="_Toc343261986"/>
      <w:bookmarkStart w:id="409" w:name="_Toc343262144"/>
      <w:bookmarkStart w:id="410" w:name="_Toc343262299"/>
      <w:bookmarkStart w:id="411" w:name="_Toc343262453"/>
      <w:bookmarkStart w:id="412" w:name="_Toc343262596"/>
      <w:bookmarkStart w:id="413" w:name="_Toc343262916"/>
      <w:bookmarkStart w:id="414" w:name="_Toc343263634"/>
      <w:bookmarkStart w:id="415" w:name="_Toc343263758"/>
      <w:bookmarkStart w:id="416" w:name="_Toc343263881"/>
      <w:bookmarkStart w:id="417" w:name="_Toc343264018"/>
      <w:bookmarkStart w:id="418" w:name="_Toc343264309"/>
      <w:bookmarkStart w:id="419" w:name="_Toc343266063"/>
      <w:bookmarkStart w:id="420" w:name="_Toc343267202"/>
      <w:bookmarkStart w:id="421" w:name="_Toc343006182"/>
      <w:bookmarkStart w:id="422" w:name="_Toc343006469"/>
      <w:bookmarkStart w:id="423" w:name="_Toc343007336"/>
      <w:bookmarkStart w:id="424" w:name="_Toc343172129"/>
      <w:bookmarkStart w:id="425" w:name="_Toc343172311"/>
      <w:bookmarkStart w:id="426" w:name="_Toc343172481"/>
      <w:bookmarkStart w:id="427" w:name="_Toc343178371"/>
      <w:bookmarkStart w:id="428" w:name="_Toc343181381"/>
      <w:bookmarkStart w:id="429" w:name="_Toc343181629"/>
      <w:bookmarkStart w:id="430" w:name="_Toc343261671"/>
      <w:bookmarkStart w:id="431" w:name="_Toc343261829"/>
      <w:bookmarkStart w:id="432" w:name="_Toc343261987"/>
      <w:bookmarkStart w:id="433" w:name="_Toc343262145"/>
      <w:bookmarkStart w:id="434" w:name="_Toc343262300"/>
      <w:bookmarkStart w:id="435" w:name="_Toc343262454"/>
      <w:bookmarkStart w:id="436" w:name="_Toc343262597"/>
      <w:bookmarkStart w:id="437" w:name="_Toc343262917"/>
      <w:bookmarkStart w:id="438" w:name="_Toc343263635"/>
      <w:bookmarkStart w:id="439" w:name="_Toc343263759"/>
      <w:bookmarkStart w:id="440" w:name="_Toc343263882"/>
      <w:bookmarkStart w:id="441" w:name="_Toc343264019"/>
      <w:bookmarkStart w:id="442" w:name="_Toc343264310"/>
      <w:bookmarkStart w:id="443" w:name="_Toc343266064"/>
      <w:bookmarkStart w:id="444" w:name="_Toc343267203"/>
      <w:bookmarkStart w:id="445" w:name="_Toc343006183"/>
      <w:bookmarkStart w:id="446" w:name="_Toc343006470"/>
      <w:bookmarkStart w:id="447" w:name="_Toc343007337"/>
      <w:bookmarkStart w:id="448" w:name="_Toc343172130"/>
      <w:bookmarkStart w:id="449" w:name="_Toc343172312"/>
      <w:bookmarkStart w:id="450" w:name="_Toc343172482"/>
      <w:bookmarkStart w:id="451" w:name="_Toc343178372"/>
      <w:bookmarkStart w:id="452" w:name="_Toc343181382"/>
      <w:bookmarkStart w:id="453" w:name="_Toc343181630"/>
      <w:bookmarkStart w:id="454" w:name="_Toc343261672"/>
      <w:bookmarkStart w:id="455" w:name="_Toc343261830"/>
      <w:bookmarkStart w:id="456" w:name="_Toc343261988"/>
      <w:bookmarkStart w:id="457" w:name="_Toc343262146"/>
      <w:bookmarkStart w:id="458" w:name="_Toc343262301"/>
      <w:bookmarkStart w:id="459" w:name="_Toc343262455"/>
      <w:bookmarkStart w:id="460" w:name="_Toc343262598"/>
      <w:bookmarkStart w:id="461" w:name="_Toc343262918"/>
      <w:bookmarkStart w:id="462" w:name="_Toc343263636"/>
      <w:bookmarkStart w:id="463" w:name="_Toc343263760"/>
      <w:bookmarkStart w:id="464" w:name="_Toc343263883"/>
      <w:bookmarkStart w:id="465" w:name="_Toc343264020"/>
      <w:bookmarkStart w:id="466" w:name="_Toc343264311"/>
      <w:bookmarkStart w:id="467" w:name="_Toc343266065"/>
      <w:bookmarkStart w:id="468" w:name="_Toc343267204"/>
      <w:bookmarkStart w:id="469" w:name="_Toc343006184"/>
      <w:bookmarkStart w:id="470" w:name="_Toc343006471"/>
      <w:bookmarkStart w:id="471" w:name="_Toc343007338"/>
      <w:bookmarkStart w:id="472" w:name="_Toc343172131"/>
      <w:bookmarkStart w:id="473" w:name="_Toc343172313"/>
      <w:bookmarkStart w:id="474" w:name="_Toc343172483"/>
      <w:bookmarkStart w:id="475" w:name="_Toc343178373"/>
      <w:bookmarkStart w:id="476" w:name="_Toc343181383"/>
      <w:bookmarkStart w:id="477" w:name="_Toc343181631"/>
      <w:bookmarkStart w:id="478" w:name="_Toc343261673"/>
      <w:bookmarkStart w:id="479" w:name="_Toc343261831"/>
      <w:bookmarkStart w:id="480" w:name="_Toc343261989"/>
      <w:bookmarkStart w:id="481" w:name="_Toc343262147"/>
      <w:bookmarkStart w:id="482" w:name="_Toc343262302"/>
      <w:bookmarkStart w:id="483" w:name="_Toc343262456"/>
      <w:bookmarkStart w:id="484" w:name="_Toc343262599"/>
      <w:bookmarkStart w:id="485" w:name="_Toc343262919"/>
      <w:bookmarkStart w:id="486" w:name="_Toc343263637"/>
      <w:bookmarkStart w:id="487" w:name="_Toc343263761"/>
      <w:bookmarkStart w:id="488" w:name="_Toc343263884"/>
      <w:bookmarkStart w:id="489" w:name="_Toc343264021"/>
      <w:bookmarkStart w:id="490" w:name="_Toc343264312"/>
      <w:bookmarkStart w:id="491" w:name="_Toc343266066"/>
      <w:bookmarkStart w:id="492" w:name="_Toc343267205"/>
      <w:bookmarkStart w:id="493" w:name="_Toc343006185"/>
      <w:bookmarkStart w:id="494" w:name="_Toc343006472"/>
      <w:bookmarkStart w:id="495" w:name="_Toc343007339"/>
      <w:bookmarkStart w:id="496" w:name="_Toc343172132"/>
      <w:bookmarkStart w:id="497" w:name="_Toc343172314"/>
      <w:bookmarkStart w:id="498" w:name="_Toc343172484"/>
      <w:bookmarkStart w:id="499" w:name="_Toc343178374"/>
      <w:bookmarkStart w:id="500" w:name="_Toc343181384"/>
      <w:bookmarkStart w:id="501" w:name="_Toc343181632"/>
      <w:bookmarkStart w:id="502" w:name="_Toc343261674"/>
      <w:bookmarkStart w:id="503" w:name="_Toc343261832"/>
      <w:bookmarkStart w:id="504" w:name="_Toc343261990"/>
      <w:bookmarkStart w:id="505" w:name="_Toc343262148"/>
      <w:bookmarkStart w:id="506" w:name="_Toc343262303"/>
      <w:bookmarkStart w:id="507" w:name="_Toc343262457"/>
      <w:bookmarkStart w:id="508" w:name="_Toc343262600"/>
      <w:bookmarkStart w:id="509" w:name="_Toc343262920"/>
      <w:bookmarkStart w:id="510" w:name="_Toc343263638"/>
      <w:bookmarkStart w:id="511" w:name="_Toc343263762"/>
      <w:bookmarkStart w:id="512" w:name="_Toc343263885"/>
      <w:bookmarkStart w:id="513" w:name="_Toc343264022"/>
      <w:bookmarkStart w:id="514" w:name="_Toc343264313"/>
      <w:bookmarkStart w:id="515" w:name="_Toc343266067"/>
      <w:bookmarkStart w:id="516" w:name="_Toc343267206"/>
      <w:bookmarkStart w:id="517" w:name="_Toc343006186"/>
      <w:bookmarkStart w:id="518" w:name="_Toc343006473"/>
      <w:bookmarkStart w:id="519" w:name="_Toc343007340"/>
      <w:bookmarkStart w:id="520" w:name="_Toc343172133"/>
      <w:bookmarkStart w:id="521" w:name="_Toc343172315"/>
      <w:bookmarkStart w:id="522" w:name="_Toc343172485"/>
      <w:bookmarkStart w:id="523" w:name="_Toc343178375"/>
      <w:bookmarkStart w:id="524" w:name="_Toc343181385"/>
      <w:bookmarkStart w:id="525" w:name="_Toc343181633"/>
      <w:bookmarkStart w:id="526" w:name="_Toc343261675"/>
      <w:bookmarkStart w:id="527" w:name="_Toc343261833"/>
      <w:bookmarkStart w:id="528" w:name="_Toc343261991"/>
      <w:bookmarkStart w:id="529" w:name="_Toc343262149"/>
      <w:bookmarkStart w:id="530" w:name="_Toc343262304"/>
      <w:bookmarkStart w:id="531" w:name="_Toc343262458"/>
      <w:bookmarkStart w:id="532" w:name="_Toc343262601"/>
      <w:bookmarkStart w:id="533" w:name="_Toc343262921"/>
      <w:bookmarkStart w:id="534" w:name="_Toc343263639"/>
      <w:bookmarkStart w:id="535" w:name="_Toc343263763"/>
      <w:bookmarkStart w:id="536" w:name="_Toc343263886"/>
      <w:bookmarkStart w:id="537" w:name="_Toc343264023"/>
      <w:bookmarkStart w:id="538" w:name="_Toc343264314"/>
      <w:bookmarkStart w:id="539" w:name="_Toc343266068"/>
      <w:bookmarkStart w:id="540" w:name="_Toc343267207"/>
      <w:bookmarkStart w:id="541" w:name="_Toc343006187"/>
      <w:bookmarkStart w:id="542" w:name="_Toc343006474"/>
      <w:bookmarkStart w:id="543" w:name="_Toc343007341"/>
      <w:bookmarkStart w:id="544" w:name="_Toc343172134"/>
      <w:bookmarkStart w:id="545" w:name="_Toc343172316"/>
      <w:bookmarkStart w:id="546" w:name="_Toc343172486"/>
      <w:bookmarkStart w:id="547" w:name="_Toc343178376"/>
      <w:bookmarkStart w:id="548" w:name="_Toc343181386"/>
      <w:bookmarkStart w:id="549" w:name="_Toc343181634"/>
      <w:bookmarkStart w:id="550" w:name="_Toc343261676"/>
      <w:bookmarkStart w:id="551" w:name="_Toc343261834"/>
      <w:bookmarkStart w:id="552" w:name="_Toc343261992"/>
      <w:bookmarkStart w:id="553" w:name="_Toc343262150"/>
      <w:bookmarkStart w:id="554" w:name="_Toc343262305"/>
      <w:bookmarkStart w:id="555" w:name="_Toc343262459"/>
      <w:bookmarkStart w:id="556" w:name="_Toc343262602"/>
      <w:bookmarkStart w:id="557" w:name="_Toc343262922"/>
      <w:bookmarkStart w:id="558" w:name="_Toc343263640"/>
      <w:bookmarkStart w:id="559" w:name="_Toc343263764"/>
      <w:bookmarkStart w:id="560" w:name="_Toc343263887"/>
      <w:bookmarkStart w:id="561" w:name="_Toc343264024"/>
      <w:bookmarkStart w:id="562" w:name="_Toc343264315"/>
      <w:bookmarkStart w:id="563" w:name="_Toc343266069"/>
      <w:bookmarkStart w:id="564" w:name="_Toc343267208"/>
      <w:bookmarkStart w:id="565" w:name="_Toc343006188"/>
      <w:bookmarkStart w:id="566" w:name="_Toc343006475"/>
      <w:bookmarkStart w:id="567" w:name="_Toc343007342"/>
      <w:bookmarkStart w:id="568" w:name="_Toc343172135"/>
      <w:bookmarkStart w:id="569" w:name="_Toc343172317"/>
      <w:bookmarkStart w:id="570" w:name="_Toc343172487"/>
      <w:bookmarkStart w:id="571" w:name="_Toc343178377"/>
      <w:bookmarkStart w:id="572" w:name="_Toc343181387"/>
      <w:bookmarkStart w:id="573" w:name="_Toc343181635"/>
      <w:bookmarkStart w:id="574" w:name="_Toc343261677"/>
      <w:bookmarkStart w:id="575" w:name="_Toc343261835"/>
      <w:bookmarkStart w:id="576" w:name="_Toc343261993"/>
      <w:bookmarkStart w:id="577" w:name="_Toc343262151"/>
      <w:bookmarkStart w:id="578" w:name="_Toc343262306"/>
      <w:bookmarkStart w:id="579" w:name="_Toc343262460"/>
      <w:bookmarkStart w:id="580" w:name="_Toc343262603"/>
      <w:bookmarkStart w:id="581" w:name="_Toc343262923"/>
      <w:bookmarkStart w:id="582" w:name="_Toc343263641"/>
      <w:bookmarkStart w:id="583" w:name="_Toc343263765"/>
      <w:bookmarkStart w:id="584" w:name="_Toc343263888"/>
      <w:bookmarkStart w:id="585" w:name="_Toc343264025"/>
      <w:bookmarkStart w:id="586" w:name="_Toc343264316"/>
      <w:bookmarkStart w:id="587" w:name="_Toc343266070"/>
      <w:bookmarkStart w:id="588" w:name="_Toc343267209"/>
      <w:bookmarkStart w:id="589" w:name="_Toc343006189"/>
      <w:bookmarkStart w:id="590" w:name="_Toc343006476"/>
      <w:bookmarkStart w:id="591" w:name="_Toc343007343"/>
      <w:bookmarkStart w:id="592" w:name="_Toc343172136"/>
      <w:bookmarkStart w:id="593" w:name="_Toc343172318"/>
      <w:bookmarkStart w:id="594" w:name="_Toc343172488"/>
      <w:bookmarkStart w:id="595" w:name="_Toc343178378"/>
      <w:bookmarkStart w:id="596" w:name="_Toc343181388"/>
      <w:bookmarkStart w:id="597" w:name="_Toc343181636"/>
      <w:bookmarkStart w:id="598" w:name="_Toc343261678"/>
      <w:bookmarkStart w:id="599" w:name="_Toc343261836"/>
      <w:bookmarkStart w:id="600" w:name="_Toc343261994"/>
      <w:bookmarkStart w:id="601" w:name="_Toc343262152"/>
      <w:bookmarkStart w:id="602" w:name="_Toc343262307"/>
      <w:bookmarkStart w:id="603" w:name="_Toc343262461"/>
      <w:bookmarkStart w:id="604" w:name="_Toc343262604"/>
      <w:bookmarkStart w:id="605" w:name="_Toc343262924"/>
      <w:bookmarkStart w:id="606" w:name="_Toc343263642"/>
      <w:bookmarkStart w:id="607" w:name="_Toc343263766"/>
      <w:bookmarkStart w:id="608" w:name="_Toc343263889"/>
      <w:bookmarkStart w:id="609" w:name="_Toc343264026"/>
      <w:bookmarkStart w:id="610" w:name="_Toc343264317"/>
      <w:bookmarkStart w:id="611" w:name="_Toc343266071"/>
      <w:bookmarkStart w:id="612" w:name="_Toc343267210"/>
      <w:bookmarkStart w:id="613" w:name="_Toc343006190"/>
      <w:bookmarkStart w:id="614" w:name="_Toc343006477"/>
      <w:bookmarkStart w:id="615" w:name="_Toc343007344"/>
      <w:bookmarkStart w:id="616" w:name="_Toc343172137"/>
      <w:bookmarkStart w:id="617" w:name="_Toc343172319"/>
      <w:bookmarkStart w:id="618" w:name="_Toc343172489"/>
      <w:bookmarkStart w:id="619" w:name="_Toc343178379"/>
      <w:bookmarkStart w:id="620" w:name="_Toc343181389"/>
      <w:bookmarkStart w:id="621" w:name="_Toc343181637"/>
      <w:bookmarkStart w:id="622" w:name="_Toc343261679"/>
      <w:bookmarkStart w:id="623" w:name="_Toc343261837"/>
      <w:bookmarkStart w:id="624" w:name="_Toc343261995"/>
      <w:bookmarkStart w:id="625" w:name="_Toc343262153"/>
      <w:bookmarkStart w:id="626" w:name="_Toc343262308"/>
      <w:bookmarkStart w:id="627" w:name="_Toc343262462"/>
      <w:bookmarkStart w:id="628" w:name="_Toc343262605"/>
      <w:bookmarkStart w:id="629" w:name="_Toc343262925"/>
      <w:bookmarkStart w:id="630" w:name="_Toc343263643"/>
      <w:bookmarkStart w:id="631" w:name="_Toc343263767"/>
      <w:bookmarkStart w:id="632" w:name="_Toc343263890"/>
      <w:bookmarkStart w:id="633" w:name="_Toc343264027"/>
      <w:bookmarkStart w:id="634" w:name="_Toc343264318"/>
      <w:bookmarkStart w:id="635" w:name="_Toc343266072"/>
      <w:bookmarkStart w:id="636" w:name="_Toc343267211"/>
      <w:bookmarkStart w:id="637" w:name="_Toc343006191"/>
      <w:bookmarkStart w:id="638" w:name="_Toc343006478"/>
      <w:bookmarkStart w:id="639" w:name="_Toc343007345"/>
      <w:bookmarkStart w:id="640" w:name="_Toc343172138"/>
      <w:bookmarkStart w:id="641" w:name="_Toc343172320"/>
      <w:bookmarkStart w:id="642" w:name="_Toc343172490"/>
      <w:bookmarkStart w:id="643" w:name="_Toc343178380"/>
      <w:bookmarkStart w:id="644" w:name="_Toc343181390"/>
      <w:bookmarkStart w:id="645" w:name="_Toc343181638"/>
      <w:bookmarkStart w:id="646" w:name="_Toc343261680"/>
      <w:bookmarkStart w:id="647" w:name="_Toc343261838"/>
      <w:bookmarkStart w:id="648" w:name="_Toc343261996"/>
      <w:bookmarkStart w:id="649" w:name="_Toc343262154"/>
      <w:bookmarkStart w:id="650" w:name="_Toc343262309"/>
      <w:bookmarkStart w:id="651" w:name="_Toc343262463"/>
      <w:bookmarkStart w:id="652" w:name="_Toc343262606"/>
      <w:bookmarkStart w:id="653" w:name="_Toc343262926"/>
      <w:bookmarkStart w:id="654" w:name="_Toc343263644"/>
      <w:bookmarkStart w:id="655" w:name="_Toc343263768"/>
      <w:bookmarkStart w:id="656" w:name="_Toc343263891"/>
      <w:bookmarkStart w:id="657" w:name="_Toc343264028"/>
      <w:bookmarkStart w:id="658" w:name="_Toc343264319"/>
      <w:bookmarkStart w:id="659" w:name="_Toc343266073"/>
      <w:bookmarkStart w:id="660" w:name="_Toc343267212"/>
      <w:bookmarkStart w:id="661" w:name="_Toc343006192"/>
      <w:bookmarkStart w:id="662" w:name="_Toc343006479"/>
      <w:bookmarkStart w:id="663" w:name="_Toc343007346"/>
      <w:bookmarkStart w:id="664" w:name="_Toc343172139"/>
      <w:bookmarkStart w:id="665" w:name="_Toc343172321"/>
      <w:bookmarkStart w:id="666" w:name="_Toc343172491"/>
      <w:bookmarkStart w:id="667" w:name="_Toc343178381"/>
      <w:bookmarkStart w:id="668" w:name="_Toc343181391"/>
      <w:bookmarkStart w:id="669" w:name="_Toc343181639"/>
      <w:bookmarkStart w:id="670" w:name="_Toc343261681"/>
      <w:bookmarkStart w:id="671" w:name="_Toc343261839"/>
      <w:bookmarkStart w:id="672" w:name="_Toc343261997"/>
      <w:bookmarkStart w:id="673" w:name="_Toc343262155"/>
      <w:bookmarkStart w:id="674" w:name="_Toc343262310"/>
      <w:bookmarkStart w:id="675" w:name="_Toc343262464"/>
      <w:bookmarkStart w:id="676" w:name="_Toc343262607"/>
      <w:bookmarkStart w:id="677" w:name="_Toc343262927"/>
      <w:bookmarkStart w:id="678" w:name="_Toc343263645"/>
      <w:bookmarkStart w:id="679" w:name="_Toc343263769"/>
      <w:bookmarkStart w:id="680" w:name="_Toc343263892"/>
      <w:bookmarkStart w:id="681" w:name="_Toc343264029"/>
      <w:bookmarkStart w:id="682" w:name="_Toc343264320"/>
      <w:bookmarkStart w:id="683" w:name="_Toc343266074"/>
      <w:bookmarkStart w:id="684" w:name="_Toc343267213"/>
      <w:bookmarkStart w:id="685" w:name="_Toc343006193"/>
      <w:bookmarkStart w:id="686" w:name="_Toc343006480"/>
      <w:bookmarkStart w:id="687" w:name="_Toc343007347"/>
      <w:bookmarkStart w:id="688" w:name="_Toc343172140"/>
      <w:bookmarkStart w:id="689" w:name="_Toc343172322"/>
      <w:bookmarkStart w:id="690" w:name="_Toc343172492"/>
      <w:bookmarkStart w:id="691" w:name="_Toc343178382"/>
      <w:bookmarkStart w:id="692" w:name="_Toc343181392"/>
      <w:bookmarkStart w:id="693" w:name="_Toc343181640"/>
      <w:bookmarkStart w:id="694" w:name="_Toc343261682"/>
      <w:bookmarkStart w:id="695" w:name="_Toc343261840"/>
      <w:bookmarkStart w:id="696" w:name="_Toc343261998"/>
      <w:bookmarkStart w:id="697" w:name="_Toc343262156"/>
      <w:bookmarkStart w:id="698" w:name="_Toc343262311"/>
      <w:bookmarkStart w:id="699" w:name="_Toc343262465"/>
      <w:bookmarkStart w:id="700" w:name="_Toc343262608"/>
      <w:bookmarkStart w:id="701" w:name="_Toc343262928"/>
      <w:bookmarkStart w:id="702" w:name="_Toc343263646"/>
      <w:bookmarkStart w:id="703" w:name="_Toc343263770"/>
      <w:bookmarkStart w:id="704" w:name="_Toc343263893"/>
      <w:bookmarkStart w:id="705" w:name="_Toc343264030"/>
      <w:bookmarkStart w:id="706" w:name="_Toc343264321"/>
      <w:bookmarkStart w:id="707" w:name="_Toc343266075"/>
      <w:bookmarkStart w:id="708" w:name="_Toc343267214"/>
      <w:bookmarkStart w:id="709" w:name="_Toc343006194"/>
      <w:bookmarkStart w:id="710" w:name="_Toc343006481"/>
      <w:bookmarkStart w:id="711" w:name="_Toc343007348"/>
      <w:bookmarkStart w:id="712" w:name="_Toc343172141"/>
      <w:bookmarkStart w:id="713" w:name="_Toc343172323"/>
      <w:bookmarkStart w:id="714" w:name="_Toc343172493"/>
      <w:bookmarkStart w:id="715" w:name="_Toc343178383"/>
      <w:bookmarkStart w:id="716" w:name="_Toc343181393"/>
      <w:bookmarkStart w:id="717" w:name="_Toc343181641"/>
      <w:bookmarkStart w:id="718" w:name="_Toc343261683"/>
      <w:bookmarkStart w:id="719" w:name="_Toc343261841"/>
      <w:bookmarkStart w:id="720" w:name="_Toc343261999"/>
      <w:bookmarkStart w:id="721" w:name="_Toc343262157"/>
      <w:bookmarkStart w:id="722" w:name="_Toc343262312"/>
      <w:bookmarkStart w:id="723" w:name="_Toc343262466"/>
      <w:bookmarkStart w:id="724" w:name="_Toc343262609"/>
      <w:bookmarkStart w:id="725" w:name="_Toc343262929"/>
      <w:bookmarkStart w:id="726" w:name="_Toc343263647"/>
      <w:bookmarkStart w:id="727" w:name="_Toc343263771"/>
      <w:bookmarkStart w:id="728" w:name="_Toc343263894"/>
      <w:bookmarkStart w:id="729" w:name="_Toc343264031"/>
      <w:bookmarkStart w:id="730" w:name="_Toc343264322"/>
      <w:bookmarkStart w:id="731" w:name="_Toc343266076"/>
      <w:bookmarkStart w:id="732" w:name="_Toc34326721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77777777"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4A1C88" w:rsidRPr="00610DA9">
        <w:rPr>
          <w:rFonts w:ascii="Arial" w:hAnsi="Arial" w:cs="Arial"/>
        </w:rPr>
        <w:t>Quarterly Solvency Return (QSR</w:t>
      </w:r>
      <w:r w:rsidRPr="006E2906">
        <w:rPr>
          <w:rFonts w:ascii="Arial" w:hAnsi="Arial" w:cs="Arial"/>
          <w:bCs/>
        </w:rPr>
        <w:t>)</w:t>
      </w:r>
      <w:r w:rsidR="00294680">
        <w:rPr>
          <w:rFonts w:ascii="Arial" w:hAnsi="Arial" w:cs="Arial"/>
        </w:rPr>
        <w:t xml:space="preserve"> and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6B5EEC3C" w14:textId="3399ADA3" w:rsidR="00A82946" w:rsidRDefault="00A82946" w:rsidP="00453785">
      <w:pPr>
        <w:spacing w:after="120" w:line="280" w:lineRule="atLeast"/>
        <w:ind w:left="720" w:hanging="720"/>
        <w:rPr>
          <w:rFonts w:ascii="Arial" w:hAnsi="Arial" w:cs="Arial"/>
        </w:rPr>
      </w:pPr>
    </w:p>
    <w:p w14:paraId="29A7192A" w14:textId="0A7D16A9" w:rsidR="00A82946" w:rsidRDefault="00A82946" w:rsidP="00453785">
      <w:pPr>
        <w:spacing w:after="120" w:line="280" w:lineRule="atLeast"/>
        <w:ind w:left="720" w:hanging="720"/>
        <w:rPr>
          <w:rFonts w:ascii="Arial" w:hAnsi="Arial" w:cs="Arial"/>
        </w:rPr>
      </w:pPr>
    </w:p>
    <w:p w14:paraId="7BDAFFEC" w14:textId="77777777" w:rsidR="00A82946" w:rsidRPr="00493D72" w:rsidRDefault="00A82946" w:rsidP="00453785">
      <w:pPr>
        <w:spacing w:after="120" w:line="280" w:lineRule="atLeast"/>
        <w:ind w:left="720" w:hanging="720"/>
        <w:rPr>
          <w:rFonts w:ascii="Arial" w:hAnsi="Arial" w:cs="Arial"/>
        </w:rPr>
      </w:pPr>
    </w:p>
    <w:p w14:paraId="1B14DDCF" w14:textId="77777777" w:rsidR="004A1C88" w:rsidRPr="00887B22" w:rsidRDefault="00493D72" w:rsidP="00493D72">
      <w:pPr>
        <w:spacing w:after="120" w:line="280" w:lineRule="atLeast"/>
        <w:ind w:left="720" w:hanging="720"/>
        <w:rPr>
          <w:rFonts w:ascii="Arial" w:hAnsi="Arial" w:cs="Arial"/>
        </w:rPr>
      </w:pPr>
      <w:r w:rsidRPr="00493D72">
        <w:rPr>
          <w:rFonts w:ascii="Arial" w:hAnsi="Arial" w:cs="Arial"/>
        </w:rPr>
        <w:lastRenderedPageBreak/>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5F24F1">
        <w:rPr>
          <w:rFonts w:ascii="Arial" w:hAnsi="Arial" w:cs="Arial"/>
        </w:rPr>
        <w:t>q</w:t>
      </w:r>
      <w:r w:rsidR="005C127F">
        <w:rPr>
          <w:rFonts w:ascii="Arial" w:hAnsi="Arial" w:cs="Arial"/>
        </w:rPr>
        <w:t>uarterly</w:t>
      </w:r>
      <w:r w:rsidR="009B4F4E">
        <w:rPr>
          <w:rFonts w:ascii="Arial" w:hAnsi="Arial" w:cs="Arial"/>
        </w:rPr>
        <w:t xml:space="preserve"> reporting</w:t>
      </w:r>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14:paraId="4654D88D" w14:textId="77777777" w:rsidTr="00CE5536">
        <w:tc>
          <w:tcPr>
            <w:tcW w:w="5625" w:type="dxa"/>
            <w:shd w:val="clear" w:color="auto" w:fill="DECC08"/>
          </w:tcPr>
          <w:p w14:paraId="0A8E0653" w14:textId="77777777" w:rsidR="004A1C88" w:rsidRPr="00887B22" w:rsidRDefault="004A1C88" w:rsidP="0036277B">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05955381" w14:textId="77777777" w:rsidR="004A1C88" w:rsidRPr="00887B22" w:rsidRDefault="004A1C88" w:rsidP="0036277B">
            <w:pPr>
              <w:spacing w:after="120" w:line="280" w:lineRule="atLeast"/>
              <w:rPr>
                <w:rFonts w:ascii="Arial" w:hAnsi="Arial" w:cs="Arial"/>
                <w:b/>
              </w:rPr>
            </w:pPr>
            <w:r w:rsidRPr="00887B22">
              <w:rPr>
                <w:rFonts w:ascii="Arial" w:hAnsi="Arial" w:cs="Arial"/>
                <w:b/>
              </w:rPr>
              <w:t>Q</w:t>
            </w:r>
            <w:r>
              <w:rPr>
                <w:rFonts w:ascii="Arial" w:hAnsi="Arial" w:cs="Arial"/>
                <w:b/>
              </w:rPr>
              <w:t>SR</w:t>
            </w:r>
            <w:r w:rsidRPr="00887B22">
              <w:rPr>
                <w:rFonts w:ascii="Arial" w:hAnsi="Arial" w:cs="Arial"/>
                <w:b/>
              </w:rPr>
              <w:t xml:space="preserve"> Reference</w:t>
            </w:r>
          </w:p>
        </w:tc>
        <w:tc>
          <w:tcPr>
            <w:tcW w:w="1842" w:type="dxa"/>
            <w:shd w:val="clear" w:color="auto" w:fill="DECC08"/>
          </w:tcPr>
          <w:p w14:paraId="4CB13BED" w14:textId="77777777" w:rsidR="004A1C88" w:rsidRPr="00887B22" w:rsidRDefault="004A1C88" w:rsidP="0036277B">
            <w:pPr>
              <w:spacing w:after="120" w:line="280" w:lineRule="atLeast"/>
              <w:rPr>
                <w:rFonts w:ascii="Arial" w:hAnsi="Arial" w:cs="Arial"/>
                <w:b/>
              </w:rPr>
            </w:pPr>
            <w:r w:rsidRPr="00454C70">
              <w:rPr>
                <w:rFonts w:ascii="Arial" w:hAnsi="Arial" w:cs="Arial"/>
                <w:b/>
              </w:rPr>
              <w:t>EIOPA template code</w:t>
            </w:r>
          </w:p>
        </w:tc>
      </w:tr>
      <w:tr w:rsidR="00DB2ED3" w:rsidRPr="00887B22" w14:paraId="436694D4" w14:textId="77777777" w:rsidTr="00CE5536">
        <w:tc>
          <w:tcPr>
            <w:tcW w:w="5625" w:type="dxa"/>
          </w:tcPr>
          <w:p w14:paraId="400470D0" w14:textId="77777777" w:rsidR="00DB2ED3" w:rsidRPr="00BD271B" w:rsidRDefault="00DB2ED3" w:rsidP="00706B3C">
            <w:pPr>
              <w:spacing w:after="120" w:line="280" w:lineRule="atLeast"/>
              <w:rPr>
                <w:rFonts w:ascii="Arial" w:hAnsi="Arial" w:cs="Arial"/>
              </w:rPr>
            </w:pPr>
            <w:r w:rsidRPr="00BD271B">
              <w:rPr>
                <w:rFonts w:ascii="Arial" w:hAnsi="Arial" w:cs="Arial"/>
              </w:rPr>
              <w:t xml:space="preserve">Basic Information </w:t>
            </w:r>
            <w:r w:rsidR="001C49CB">
              <w:rPr>
                <w:rFonts w:ascii="Arial" w:hAnsi="Arial" w:cs="Arial"/>
              </w:rPr>
              <w:t>–</w:t>
            </w:r>
            <w:r w:rsidRPr="00BD271B">
              <w:rPr>
                <w:rFonts w:ascii="Arial" w:hAnsi="Arial" w:cs="Arial"/>
              </w:rPr>
              <w:t xml:space="preserve"> General</w:t>
            </w:r>
          </w:p>
        </w:tc>
        <w:tc>
          <w:tcPr>
            <w:tcW w:w="1560" w:type="dxa"/>
          </w:tcPr>
          <w:p w14:paraId="0568C25E" w14:textId="77777777" w:rsidR="00DB2ED3" w:rsidRPr="00BD271B" w:rsidRDefault="00DB2ED3" w:rsidP="00706B3C">
            <w:pPr>
              <w:spacing w:after="120" w:line="280" w:lineRule="atLeast"/>
              <w:rPr>
                <w:rFonts w:ascii="Arial" w:hAnsi="Arial" w:cs="Arial"/>
              </w:rPr>
            </w:pPr>
            <w:r w:rsidRPr="00BD271B">
              <w:rPr>
                <w:rFonts w:ascii="Arial" w:hAnsi="Arial" w:cs="Arial"/>
              </w:rPr>
              <w:t>QSR030</w:t>
            </w:r>
          </w:p>
        </w:tc>
        <w:tc>
          <w:tcPr>
            <w:tcW w:w="1842" w:type="dxa"/>
          </w:tcPr>
          <w:p w14:paraId="1EF54BB8" w14:textId="77777777" w:rsidR="00DB2ED3" w:rsidRPr="00BD271B" w:rsidRDefault="00DB2ED3" w:rsidP="00706B3C">
            <w:pPr>
              <w:spacing w:after="120" w:line="280" w:lineRule="atLeast"/>
              <w:rPr>
                <w:rFonts w:ascii="Arial" w:hAnsi="Arial" w:cs="Arial"/>
              </w:rPr>
            </w:pPr>
            <w:r w:rsidRPr="00BD271B">
              <w:rPr>
                <w:rFonts w:ascii="Arial" w:hAnsi="Arial" w:cs="Arial"/>
              </w:rPr>
              <w:t>S.01.02.01</w:t>
            </w:r>
          </w:p>
        </w:tc>
      </w:tr>
      <w:tr w:rsidR="00DB2ED3" w:rsidRPr="00887B22" w14:paraId="45F94A06" w14:textId="77777777" w:rsidTr="00CE5536">
        <w:tc>
          <w:tcPr>
            <w:tcW w:w="5625" w:type="dxa"/>
          </w:tcPr>
          <w:p w14:paraId="516871B1" w14:textId="77777777" w:rsidR="00DB2ED3" w:rsidRPr="00BD271B" w:rsidRDefault="0027574C" w:rsidP="00706B3C">
            <w:pPr>
              <w:spacing w:after="120" w:line="280" w:lineRule="atLeast"/>
              <w:rPr>
                <w:rFonts w:ascii="Arial" w:hAnsi="Arial" w:cs="Arial"/>
              </w:rPr>
            </w:pPr>
            <w:r w:rsidRPr="00BD271B">
              <w:rPr>
                <w:rFonts w:ascii="Arial" w:hAnsi="Arial" w:cs="Arial"/>
              </w:rPr>
              <w:t>Quantitative Reporting Templates</w:t>
            </w:r>
          </w:p>
        </w:tc>
        <w:tc>
          <w:tcPr>
            <w:tcW w:w="1560" w:type="dxa"/>
          </w:tcPr>
          <w:p w14:paraId="2EDE63A0" w14:textId="77777777" w:rsidR="00DB2ED3" w:rsidRPr="00BD271B" w:rsidRDefault="00DB2ED3" w:rsidP="00706B3C">
            <w:pPr>
              <w:spacing w:after="120" w:line="280" w:lineRule="atLeast"/>
              <w:rPr>
                <w:rFonts w:ascii="Arial" w:hAnsi="Arial" w:cs="Arial"/>
              </w:rPr>
            </w:pPr>
            <w:r w:rsidRPr="00BD271B">
              <w:rPr>
                <w:rFonts w:ascii="Arial" w:hAnsi="Arial" w:cs="Arial"/>
              </w:rPr>
              <w:t>QSR031</w:t>
            </w:r>
          </w:p>
        </w:tc>
        <w:tc>
          <w:tcPr>
            <w:tcW w:w="1842" w:type="dxa"/>
          </w:tcPr>
          <w:p w14:paraId="24A0C02D" w14:textId="77777777" w:rsidR="00DB2ED3" w:rsidRPr="00BD271B" w:rsidRDefault="00DB2ED3" w:rsidP="00706B3C">
            <w:pPr>
              <w:spacing w:after="120" w:line="280" w:lineRule="atLeast"/>
              <w:rPr>
                <w:rFonts w:ascii="Arial" w:hAnsi="Arial" w:cs="Arial"/>
              </w:rPr>
            </w:pPr>
            <w:r w:rsidRPr="00BD271B">
              <w:rPr>
                <w:rFonts w:ascii="Arial" w:hAnsi="Arial" w:cs="Arial"/>
              </w:rPr>
              <w:t>S.01.01.02</w:t>
            </w:r>
          </w:p>
        </w:tc>
      </w:tr>
      <w:tr w:rsidR="004A1C88" w:rsidRPr="00887B22" w14:paraId="4CA19D25" w14:textId="77777777" w:rsidTr="00CE5536">
        <w:tc>
          <w:tcPr>
            <w:tcW w:w="5625" w:type="dxa"/>
          </w:tcPr>
          <w:p w14:paraId="0799B38E" w14:textId="77777777" w:rsidR="004A1C88" w:rsidRPr="006D7E03" w:rsidRDefault="004A1C88" w:rsidP="00706B3C">
            <w:pPr>
              <w:spacing w:after="120" w:line="280" w:lineRule="atLeast"/>
              <w:rPr>
                <w:rFonts w:ascii="Arial" w:hAnsi="Arial" w:cs="Arial"/>
              </w:rPr>
            </w:pPr>
            <w:r w:rsidRPr="006D7E03">
              <w:rPr>
                <w:rFonts w:ascii="Arial" w:hAnsi="Arial" w:cs="Arial"/>
              </w:rPr>
              <w:t>Balance sheet</w:t>
            </w:r>
          </w:p>
        </w:tc>
        <w:tc>
          <w:tcPr>
            <w:tcW w:w="1560" w:type="dxa"/>
          </w:tcPr>
          <w:p w14:paraId="2E8A0D3A" w14:textId="77777777" w:rsidR="004A1C88" w:rsidRPr="006D7E03" w:rsidRDefault="004A1C88" w:rsidP="00706B3C">
            <w:pPr>
              <w:spacing w:after="120" w:line="280" w:lineRule="atLeast"/>
              <w:rPr>
                <w:rFonts w:ascii="Arial" w:hAnsi="Arial" w:cs="Arial"/>
              </w:rPr>
            </w:pPr>
            <w:r w:rsidRPr="006D7E03">
              <w:rPr>
                <w:rFonts w:ascii="Arial" w:hAnsi="Arial" w:cs="Arial"/>
              </w:rPr>
              <w:t>QSR002</w:t>
            </w:r>
          </w:p>
        </w:tc>
        <w:tc>
          <w:tcPr>
            <w:tcW w:w="1842" w:type="dxa"/>
          </w:tcPr>
          <w:p w14:paraId="012A3E38" w14:textId="77777777" w:rsidR="004A1C88" w:rsidRPr="006D7E03" w:rsidRDefault="004A1C88" w:rsidP="00706B3C">
            <w:pPr>
              <w:spacing w:after="120" w:line="280" w:lineRule="atLeast"/>
              <w:rPr>
                <w:rFonts w:ascii="Arial" w:hAnsi="Arial" w:cs="Arial"/>
              </w:rPr>
            </w:pPr>
            <w:r w:rsidRPr="006D7E03">
              <w:rPr>
                <w:rFonts w:ascii="Arial" w:hAnsi="Arial" w:cs="Arial"/>
              </w:rPr>
              <w:t>S.02.01.0</w:t>
            </w:r>
            <w:r w:rsidR="00DF0328" w:rsidRPr="006D7E03">
              <w:rPr>
                <w:rFonts w:ascii="Arial" w:hAnsi="Arial" w:cs="Arial"/>
              </w:rPr>
              <w:t>2</w:t>
            </w:r>
          </w:p>
        </w:tc>
      </w:tr>
      <w:tr w:rsidR="00604183" w:rsidRPr="00887B22" w14:paraId="36763BF7" w14:textId="77777777" w:rsidTr="00CE5536">
        <w:tc>
          <w:tcPr>
            <w:tcW w:w="5625" w:type="dxa"/>
          </w:tcPr>
          <w:p w14:paraId="6F167420" w14:textId="77777777" w:rsidR="00604183" w:rsidRPr="006D7E03" w:rsidRDefault="00604183" w:rsidP="00706B3C">
            <w:pPr>
              <w:spacing w:after="120" w:line="280" w:lineRule="atLeast"/>
              <w:rPr>
                <w:rFonts w:ascii="Arial" w:hAnsi="Arial" w:cs="Arial"/>
              </w:rPr>
            </w:pPr>
            <w:r>
              <w:rPr>
                <w:rFonts w:ascii="Arial" w:hAnsi="Arial" w:cs="Arial"/>
              </w:rPr>
              <w:t>Members providing capital (FIS)</w:t>
            </w:r>
          </w:p>
        </w:tc>
        <w:tc>
          <w:tcPr>
            <w:tcW w:w="1560" w:type="dxa"/>
          </w:tcPr>
          <w:p w14:paraId="4B71D334" w14:textId="77777777" w:rsidR="00604183" w:rsidRPr="006D7E03" w:rsidRDefault="00604183" w:rsidP="00706B3C">
            <w:pPr>
              <w:spacing w:after="120" w:line="280" w:lineRule="atLeast"/>
              <w:rPr>
                <w:rFonts w:ascii="Arial" w:hAnsi="Arial" w:cs="Arial"/>
              </w:rPr>
            </w:pPr>
            <w:r>
              <w:rPr>
                <w:rFonts w:ascii="Arial" w:hAnsi="Arial" w:cs="Arial"/>
              </w:rPr>
              <w:t>QSR204</w:t>
            </w:r>
          </w:p>
        </w:tc>
        <w:tc>
          <w:tcPr>
            <w:tcW w:w="1842" w:type="dxa"/>
          </w:tcPr>
          <w:p w14:paraId="68C05B2A" w14:textId="77777777" w:rsidR="00604183" w:rsidRPr="006D7E03" w:rsidRDefault="00604183" w:rsidP="00706B3C">
            <w:pPr>
              <w:spacing w:after="120" w:line="280" w:lineRule="atLeast"/>
              <w:rPr>
                <w:rFonts w:ascii="Arial" w:hAnsi="Arial" w:cs="Arial"/>
              </w:rPr>
            </w:pPr>
            <w:r>
              <w:rPr>
                <w:rFonts w:ascii="Arial" w:hAnsi="Arial" w:cs="Arial"/>
              </w:rPr>
              <w:t>Lloyd’s specific requirement</w:t>
            </w:r>
          </w:p>
        </w:tc>
      </w:tr>
      <w:tr w:rsidR="00C43983" w:rsidRPr="00887B22" w14:paraId="4568FBAB" w14:textId="77777777" w:rsidTr="00CE5536">
        <w:tc>
          <w:tcPr>
            <w:tcW w:w="5625" w:type="dxa"/>
          </w:tcPr>
          <w:p w14:paraId="70E7472C" w14:textId="77777777" w:rsidR="00C43983" w:rsidRPr="006D7E03" w:rsidRDefault="00C43983" w:rsidP="00706B3C">
            <w:pPr>
              <w:spacing w:after="120" w:line="280" w:lineRule="atLeast"/>
              <w:rPr>
                <w:rFonts w:ascii="Arial" w:hAnsi="Arial" w:cs="Arial"/>
              </w:rPr>
            </w:pPr>
            <w:r>
              <w:rPr>
                <w:rFonts w:ascii="Arial" w:hAnsi="Arial" w:cs="Arial"/>
              </w:rPr>
              <w:t>Solvency II Balance Sheet Reconciliation</w:t>
            </w:r>
          </w:p>
        </w:tc>
        <w:tc>
          <w:tcPr>
            <w:tcW w:w="1560" w:type="dxa"/>
          </w:tcPr>
          <w:p w14:paraId="73A25805" w14:textId="77777777" w:rsidR="00C43983" w:rsidRPr="006D7E03" w:rsidRDefault="00C43983" w:rsidP="00706B3C">
            <w:pPr>
              <w:spacing w:after="120" w:line="280" w:lineRule="atLeast"/>
              <w:rPr>
                <w:rFonts w:ascii="Arial" w:hAnsi="Arial" w:cs="Arial"/>
              </w:rPr>
            </w:pPr>
            <w:r>
              <w:rPr>
                <w:rFonts w:ascii="Arial" w:hAnsi="Arial" w:cs="Arial"/>
              </w:rPr>
              <w:t>QSR210</w:t>
            </w:r>
          </w:p>
        </w:tc>
        <w:tc>
          <w:tcPr>
            <w:tcW w:w="1842" w:type="dxa"/>
          </w:tcPr>
          <w:p w14:paraId="3617AD88" w14:textId="77777777" w:rsidR="00C43983" w:rsidRPr="006D7E03" w:rsidRDefault="00C43983" w:rsidP="00706B3C">
            <w:pPr>
              <w:spacing w:after="120" w:line="280" w:lineRule="atLeast"/>
              <w:rPr>
                <w:rFonts w:ascii="Arial" w:hAnsi="Arial" w:cs="Arial"/>
              </w:rPr>
            </w:pPr>
            <w:r>
              <w:rPr>
                <w:rFonts w:ascii="Arial" w:hAnsi="Arial" w:cs="Arial"/>
              </w:rPr>
              <w:t>Lloyd’s specific requirement</w:t>
            </w:r>
          </w:p>
        </w:tc>
      </w:tr>
      <w:tr w:rsidR="004A1C88" w:rsidRPr="00887B22" w14:paraId="238F3E1A" w14:textId="77777777" w:rsidTr="00CE5536">
        <w:tc>
          <w:tcPr>
            <w:tcW w:w="5625" w:type="dxa"/>
          </w:tcPr>
          <w:p w14:paraId="678BB0FA" w14:textId="77777777" w:rsidR="004A1C88" w:rsidRPr="006D7E03" w:rsidRDefault="004A1C88" w:rsidP="00706B3C">
            <w:pPr>
              <w:spacing w:after="120" w:line="280" w:lineRule="atLeast"/>
              <w:rPr>
                <w:rFonts w:ascii="Arial" w:hAnsi="Arial" w:cs="Arial"/>
              </w:rPr>
            </w:pPr>
            <w:r w:rsidRPr="006D7E03">
              <w:rPr>
                <w:rFonts w:ascii="Arial" w:hAnsi="Arial" w:cs="Arial"/>
              </w:rPr>
              <w:t>Own funds</w:t>
            </w:r>
          </w:p>
        </w:tc>
        <w:tc>
          <w:tcPr>
            <w:tcW w:w="1560" w:type="dxa"/>
          </w:tcPr>
          <w:p w14:paraId="75114933" w14:textId="77777777" w:rsidR="004A1C88" w:rsidRPr="006D7E03" w:rsidRDefault="004A1C88" w:rsidP="00706B3C">
            <w:pPr>
              <w:spacing w:after="120" w:line="280" w:lineRule="atLeast"/>
              <w:rPr>
                <w:rFonts w:ascii="Arial" w:hAnsi="Arial" w:cs="Arial"/>
              </w:rPr>
            </w:pPr>
            <w:r w:rsidRPr="006D7E03">
              <w:rPr>
                <w:rFonts w:ascii="Arial" w:hAnsi="Arial" w:cs="Arial"/>
              </w:rPr>
              <w:t>QSR220</w:t>
            </w:r>
          </w:p>
        </w:tc>
        <w:tc>
          <w:tcPr>
            <w:tcW w:w="1842" w:type="dxa"/>
          </w:tcPr>
          <w:p w14:paraId="33321653" w14:textId="77777777" w:rsidR="004A1C88" w:rsidRPr="006D7E03" w:rsidRDefault="004A1C88" w:rsidP="00706B3C">
            <w:pPr>
              <w:spacing w:after="120" w:line="280" w:lineRule="atLeast"/>
              <w:rPr>
                <w:rFonts w:ascii="Arial" w:hAnsi="Arial" w:cs="Arial"/>
              </w:rPr>
            </w:pPr>
            <w:r w:rsidRPr="006D7E03">
              <w:rPr>
                <w:rFonts w:ascii="Arial" w:hAnsi="Arial" w:cs="Arial"/>
              </w:rPr>
              <w:t>S.23.01.01</w:t>
            </w:r>
          </w:p>
        </w:tc>
      </w:tr>
      <w:tr w:rsidR="00CA6AE0" w:rsidRPr="00887B22" w14:paraId="32163A5C" w14:textId="77777777" w:rsidTr="00CE5536">
        <w:tc>
          <w:tcPr>
            <w:tcW w:w="5625" w:type="dxa"/>
          </w:tcPr>
          <w:p w14:paraId="494E3E04" w14:textId="77777777" w:rsidR="00CA6AE0" w:rsidRPr="006D7E03" w:rsidRDefault="006D7E03" w:rsidP="00706B3C">
            <w:pPr>
              <w:spacing w:after="120" w:line="280" w:lineRule="atLeast"/>
              <w:rPr>
                <w:rFonts w:ascii="Arial" w:hAnsi="Arial" w:cs="Arial"/>
              </w:rPr>
            </w:pPr>
            <w:r w:rsidRPr="006D7E03">
              <w:rPr>
                <w:rFonts w:ascii="Arial" w:hAnsi="Arial" w:cs="Arial"/>
              </w:rPr>
              <w:t>Non-Life Technical Provisions</w:t>
            </w:r>
          </w:p>
        </w:tc>
        <w:tc>
          <w:tcPr>
            <w:tcW w:w="1560" w:type="dxa"/>
          </w:tcPr>
          <w:p w14:paraId="59ADFFBC" w14:textId="77777777" w:rsidR="00CA6AE0" w:rsidRPr="006D7E03" w:rsidRDefault="006D7E03" w:rsidP="00706B3C">
            <w:pPr>
              <w:spacing w:after="120" w:line="280" w:lineRule="atLeast"/>
              <w:rPr>
                <w:rFonts w:ascii="Arial" w:hAnsi="Arial" w:cs="Arial"/>
              </w:rPr>
            </w:pPr>
            <w:r w:rsidRPr="006D7E03">
              <w:rPr>
                <w:rFonts w:ascii="Arial" w:hAnsi="Arial" w:cs="Arial"/>
              </w:rPr>
              <w:t>QSR240</w:t>
            </w:r>
          </w:p>
        </w:tc>
        <w:tc>
          <w:tcPr>
            <w:tcW w:w="1842" w:type="dxa"/>
          </w:tcPr>
          <w:p w14:paraId="0338B8CD" w14:textId="77777777" w:rsidR="00CA6AE0" w:rsidRPr="006D7E03" w:rsidRDefault="006D7E03" w:rsidP="0036277B">
            <w:pPr>
              <w:spacing w:after="120" w:line="280" w:lineRule="atLeast"/>
              <w:rPr>
                <w:rFonts w:ascii="Arial" w:hAnsi="Arial" w:cs="Arial"/>
              </w:rPr>
            </w:pPr>
            <w:r w:rsidRPr="006D7E03">
              <w:rPr>
                <w:rFonts w:ascii="Arial" w:hAnsi="Arial" w:cs="Arial"/>
              </w:rPr>
              <w:t>S.17.01.02</w:t>
            </w:r>
          </w:p>
        </w:tc>
      </w:tr>
      <w:tr w:rsidR="00CA6AE0" w:rsidRPr="00887B22" w14:paraId="27BDDA4A" w14:textId="77777777" w:rsidTr="00CE5536">
        <w:tc>
          <w:tcPr>
            <w:tcW w:w="5625" w:type="dxa"/>
          </w:tcPr>
          <w:p w14:paraId="19C9A382" w14:textId="77777777" w:rsidR="00CA6AE0" w:rsidRPr="006D7E03" w:rsidRDefault="006D7E03" w:rsidP="000A7A44">
            <w:pPr>
              <w:spacing w:after="120" w:line="280" w:lineRule="atLeast"/>
              <w:rPr>
                <w:rFonts w:ascii="Arial" w:hAnsi="Arial" w:cs="Arial"/>
              </w:rPr>
            </w:pPr>
            <w:r w:rsidRPr="006D7E03">
              <w:rPr>
                <w:rFonts w:ascii="Arial" w:hAnsi="Arial" w:cs="Arial"/>
              </w:rPr>
              <w:t>Life Technical Provisions</w:t>
            </w:r>
          </w:p>
        </w:tc>
        <w:tc>
          <w:tcPr>
            <w:tcW w:w="1560" w:type="dxa"/>
          </w:tcPr>
          <w:p w14:paraId="679272AA" w14:textId="77777777" w:rsidR="00CA6AE0" w:rsidRPr="006D7E03" w:rsidRDefault="006D7E03" w:rsidP="00706B3C">
            <w:pPr>
              <w:spacing w:after="120" w:line="280" w:lineRule="atLeast"/>
              <w:rPr>
                <w:rFonts w:ascii="Arial" w:hAnsi="Arial" w:cs="Arial"/>
              </w:rPr>
            </w:pPr>
            <w:r w:rsidRPr="006D7E03">
              <w:rPr>
                <w:rFonts w:ascii="Arial" w:hAnsi="Arial" w:cs="Arial"/>
              </w:rPr>
              <w:t>QSR280</w:t>
            </w:r>
          </w:p>
        </w:tc>
        <w:tc>
          <w:tcPr>
            <w:tcW w:w="1842" w:type="dxa"/>
          </w:tcPr>
          <w:p w14:paraId="7845C5B0"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CA6AE0" w:rsidRPr="00887B22" w14:paraId="35E3B1F4" w14:textId="77777777" w:rsidTr="00CE5536">
        <w:tc>
          <w:tcPr>
            <w:tcW w:w="5625" w:type="dxa"/>
          </w:tcPr>
          <w:p w14:paraId="396C0B58" w14:textId="77777777" w:rsidR="00CA6AE0" w:rsidRPr="006D7E03" w:rsidRDefault="006D7E03" w:rsidP="00706B3C">
            <w:pPr>
              <w:spacing w:after="120" w:line="280" w:lineRule="atLeast"/>
              <w:rPr>
                <w:rFonts w:ascii="Arial" w:hAnsi="Arial" w:cs="Arial"/>
              </w:rPr>
            </w:pPr>
            <w:r w:rsidRPr="006D7E03">
              <w:rPr>
                <w:rFonts w:ascii="Arial" w:hAnsi="Arial" w:cs="Arial"/>
              </w:rPr>
              <w:t>Health SLT Technical Provisions</w:t>
            </w:r>
          </w:p>
        </w:tc>
        <w:tc>
          <w:tcPr>
            <w:tcW w:w="1560" w:type="dxa"/>
          </w:tcPr>
          <w:p w14:paraId="00FC0D3C" w14:textId="77777777" w:rsidR="00CA6AE0" w:rsidRPr="006D7E03" w:rsidRDefault="006D7E03" w:rsidP="00706B3C">
            <w:pPr>
              <w:spacing w:after="120" w:line="280" w:lineRule="atLeast"/>
              <w:rPr>
                <w:rFonts w:ascii="Arial" w:hAnsi="Arial" w:cs="Arial"/>
              </w:rPr>
            </w:pPr>
            <w:r w:rsidRPr="006D7E03">
              <w:rPr>
                <w:rFonts w:ascii="Arial" w:hAnsi="Arial" w:cs="Arial"/>
              </w:rPr>
              <w:t>QSR283</w:t>
            </w:r>
          </w:p>
        </w:tc>
        <w:tc>
          <w:tcPr>
            <w:tcW w:w="1842" w:type="dxa"/>
          </w:tcPr>
          <w:p w14:paraId="6094573D"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2640C7" w:rsidRPr="00887B22" w14:paraId="59D3F391" w14:textId="77777777" w:rsidTr="00CE5536">
        <w:tc>
          <w:tcPr>
            <w:tcW w:w="5625" w:type="dxa"/>
          </w:tcPr>
          <w:p w14:paraId="5E33AF08"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–Non-life</w:t>
            </w:r>
          </w:p>
        </w:tc>
        <w:tc>
          <w:tcPr>
            <w:tcW w:w="1560" w:type="dxa"/>
          </w:tcPr>
          <w:p w14:paraId="7FCEC19C" w14:textId="77777777" w:rsidR="002640C7" w:rsidRPr="006D7E03" w:rsidRDefault="002640C7" w:rsidP="00706B3C">
            <w:pPr>
              <w:spacing w:after="120" w:line="280" w:lineRule="atLeast"/>
              <w:rPr>
                <w:rFonts w:ascii="Arial" w:hAnsi="Arial" w:cs="Arial"/>
              </w:rPr>
            </w:pPr>
            <w:r>
              <w:rPr>
                <w:rFonts w:ascii="Arial" w:hAnsi="Arial" w:cs="Arial"/>
              </w:rPr>
              <w:t>QSR440</w:t>
            </w:r>
          </w:p>
        </w:tc>
        <w:tc>
          <w:tcPr>
            <w:tcW w:w="1842" w:type="dxa"/>
          </w:tcPr>
          <w:p w14:paraId="39E6799B"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18EBC674" w14:textId="77777777" w:rsidTr="00CE5536">
        <w:tc>
          <w:tcPr>
            <w:tcW w:w="5625" w:type="dxa"/>
          </w:tcPr>
          <w:p w14:paraId="3333EDB9"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 Life</w:t>
            </w:r>
          </w:p>
        </w:tc>
        <w:tc>
          <w:tcPr>
            <w:tcW w:w="1560" w:type="dxa"/>
          </w:tcPr>
          <w:p w14:paraId="6A33A932" w14:textId="77777777" w:rsidR="002640C7" w:rsidRPr="006D7E03" w:rsidRDefault="002640C7" w:rsidP="00706B3C">
            <w:pPr>
              <w:spacing w:after="120" w:line="280" w:lineRule="atLeast"/>
              <w:rPr>
                <w:rFonts w:ascii="Arial" w:hAnsi="Arial" w:cs="Arial"/>
              </w:rPr>
            </w:pPr>
            <w:r>
              <w:rPr>
                <w:rFonts w:ascii="Arial" w:hAnsi="Arial" w:cs="Arial"/>
              </w:rPr>
              <w:t>QSR450</w:t>
            </w:r>
          </w:p>
        </w:tc>
        <w:tc>
          <w:tcPr>
            <w:tcW w:w="1842" w:type="dxa"/>
          </w:tcPr>
          <w:p w14:paraId="5AEEDEF2"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33D00F8D" w14:textId="77777777" w:rsidTr="00CE5536">
        <w:tc>
          <w:tcPr>
            <w:tcW w:w="5625" w:type="dxa"/>
          </w:tcPr>
          <w:p w14:paraId="28291022"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Non-life</w:t>
            </w:r>
          </w:p>
        </w:tc>
        <w:tc>
          <w:tcPr>
            <w:tcW w:w="1560" w:type="dxa"/>
          </w:tcPr>
          <w:p w14:paraId="4A5CA079" w14:textId="77777777" w:rsidR="002640C7" w:rsidRPr="006D7E03" w:rsidRDefault="002640C7" w:rsidP="00706B3C">
            <w:pPr>
              <w:spacing w:after="120" w:line="280" w:lineRule="atLeast"/>
              <w:rPr>
                <w:rFonts w:ascii="Arial" w:hAnsi="Arial" w:cs="Arial"/>
              </w:rPr>
            </w:pPr>
            <w:r w:rsidRPr="006D7E03">
              <w:rPr>
                <w:rFonts w:ascii="Arial" w:hAnsi="Arial" w:cs="Arial"/>
              </w:rPr>
              <w:t>QSR510</w:t>
            </w:r>
          </w:p>
        </w:tc>
        <w:tc>
          <w:tcPr>
            <w:tcW w:w="1842" w:type="dxa"/>
          </w:tcPr>
          <w:p w14:paraId="5E851DAB" w14:textId="77777777" w:rsidR="002640C7" w:rsidRPr="006D7E03" w:rsidRDefault="002640C7" w:rsidP="0036277B">
            <w:pPr>
              <w:spacing w:after="120" w:line="280" w:lineRule="atLeast"/>
              <w:rPr>
                <w:rFonts w:ascii="Arial" w:hAnsi="Arial" w:cs="Arial"/>
              </w:rPr>
            </w:pPr>
            <w:r w:rsidRPr="006D7E03">
              <w:rPr>
                <w:rFonts w:ascii="Arial" w:hAnsi="Arial" w:cs="Arial"/>
              </w:rPr>
              <w:t>S.28.01.01</w:t>
            </w:r>
          </w:p>
        </w:tc>
      </w:tr>
      <w:tr w:rsidR="002640C7" w:rsidRPr="00887B22" w14:paraId="61A50986" w14:textId="77777777" w:rsidTr="00CE5536">
        <w:tc>
          <w:tcPr>
            <w:tcW w:w="5625" w:type="dxa"/>
          </w:tcPr>
          <w:p w14:paraId="4FF15350"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Life</w:t>
            </w:r>
          </w:p>
        </w:tc>
        <w:tc>
          <w:tcPr>
            <w:tcW w:w="1560" w:type="dxa"/>
          </w:tcPr>
          <w:p w14:paraId="7815FBA7" w14:textId="77777777" w:rsidR="002640C7" w:rsidRPr="006D7E03" w:rsidRDefault="002640C7" w:rsidP="00706B3C">
            <w:pPr>
              <w:spacing w:after="120" w:line="280" w:lineRule="atLeast"/>
              <w:rPr>
                <w:rFonts w:ascii="Arial" w:hAnsi="Arial" w:cs="Arial"/>
              </w:rPr>
            </w:pPr>
            <w:r w:rsidRPr="006D7E03">
              <w:rPr>
                <w:rFonts w:ascii="Arial" w:hAnsi="Arial" w:cs="Arial"/>
              </w:rPr>
              <w:t>QSR511</w:t>
            </w:r>
          </w:p>
        </w:tc>
        <w:tc>
          <w:tcPr>
            <w:tcW w:w="1842" w:type="dxa"/>
          </w:tcPr>
          <w:p w14:paraId="7E641C77" w14:textId="77777777" w:rsidR="002640C7" w:rsidRPr="006D7E03" w:rsidRDefault="002640C7" w:rsidP="00706B3C">
            <w:pPr>
              <w:spacing w:after="120" w:line="280" w:lineRule="atLeast"/>
              <w:rPr>
                <w:rFonts w:ascii="Arial" w:hAnsi="Arial" w:cs="Arial"/>
              </w:rPr>
            </w:pPr>
            <w:r w:rsidRPr="006D7E03">
              <w:rPr>
                <w:rFonts w:ascii="Arial" w:hAnsi="Arial" w:cs="Arial"/>
              </w:rPr>
              <w:t>S.28.01.01</w:t>
            </w:r>
          </w:p>
        </w:tc>
      </w:tr>
      <w:tr w:rsidR="00C43983" w:rsidRPr="00887B22" w14:paraId="58254F5F" w14:textId="77777777" w:rsidTr="00CE5536">
        <w:tc>
          <w:tcPr>
            <w:tcW w:w="5625" w:type="dxa"/>
          </w:tcPr>
          <w:p w14:paraId="136B431B" w14:textId="324AB90C" w:rsidR="00C43983" w:rsidRPr="00EB22D4" w:rsidRDefault="00C43983" w:rsidP="007411CA">
            <w:pPr>
              <w:spacing w:after="120" w:line="280" w:lineRule="atLeast"/>
              <w:rPr>
                <w:rFonts w:ascii="Arial" w:hAnsi="Arial" w:cs="Arial"/>
              </w:rPr>
            </w:pPr>
            <w:r w:rsidRPr="00EB22D4">
              <w:rPr>
                <w:rFonts w:ascii="Arial" w:hAnsi="Arial" w:cs="Arial"/>
              </w:rPr>
              <w:t xml:space="preserve">Cash Transfer Statement </w:t>
            </w:r>
            <w:r w:rsidR="00CD28ED" w:rsidRPr="00376DE3">
              <w:rPr>
                <w:rFonts w:ascii="Arial" w:hAnsi="Arial" w:cs="Arial"/>
              </w:rPr>
              <w:t>(</w:t>
            </w:r>
            <w:r w:rsidR="00CD28ED" w:rsidRPr="00B7267C">
              <w:rPr>
                <w:rFonts w:ascii="Arial" w:hAnsi="Arial" w:cs="Arial"/>
                <w:b/>
              </w:rPr>
              <w:t>required at Q4</w:t>
            </w:r>
            <w:r w:rsidR="00B35D35">
              <w:rPr>
                <w:rFonts w:ascii="Arial" w:hAnsi="Arial" w:cs="Arial"/>
                <w:b/>
              </w:rPr>
              <w:t>,</w:t>
            </w:r>
            <w:r w:rsidR="00CD28ED" w:rsidRPr="00B7267C">
              <w:rPr>
                <w:rFonts w:ascii="Arial" w:hAnsi="Arial" w:cs="Arial"/>
                <w:b/>
              </w:rPr>
              <w:t xml:space="preserve"> </w:t>
            </w:r>
            <w:r w:rsidR="006A31C7">
              <w:rPr>
                <w:rFonts w:ascii="Arial" w:hAnsi="Arial" w:cs="Arial"/>
                <w:b/>
              </w:rPr>
              <w:t>annual</w:t>
            </w:r>
            <w:r w:rsidR="00B35D35">
              <w:rPr>
                <w:rFonts w:ascii="Arial" w:hAnsi="Arial" w:cs="Arial"/>
                <w:b/>
              </w:rPr>
              <w:t xml:space="preserve"> and for early profit release</w:t>
            </w:r>
            <w:r w:rsidR="00CD28ED" w:rsidRPr="00EB22D4">
              <w:rPr>
                <w:rFonts w:ascii="Arial" w:hAnsi="Arial" w:cs="Arial"/>
              </w:rPr>
              <w:t>)</w:t>
            </w:r>
          </w:p>
        </w:tc>
        <w:tc>
          <w:tcPr>
            <w:tcW w:w="1560" w:type="dxa"/>
          </w:tcPr>
          <w:p w14:paraId="14FA2C17" w14:textId="77777777" w:rsidR="00C43983" w:rsidRPr="00EB22D4" w:rsidRDefault="00C43983" w:rsidP="00706B3C">
            <w:pPr>
              <w:spacing w:after="120" w:line="280" w:lineRule="atLeast"/>
              <w:rPr>
                <w:rFonts w:ascii="Arial" w:hAnsi="Arial" w:cs="Arial"/>
              </w:rPr>
            </w:pPr>
            <w:r w:rsidRPr="00EB22D4">
              <w:rPr>
                <w:rFonts w:ascii="Arial" w:hAnsi="Arial" w:cs="Arial"/>
              </w:rPr>
              <w:t>QSR923</w:t>
            </w:r>
          </w:p>
        </w:tc>
        <w:tc>
          <w:tcPr>
            <w:tcW w:w="1842" w:type="dxa"/>
          </w:tcPr>
          <w:p w14:paraId="5C7A3A8E" w14:textId="77777777" w:rsidR="00C43983" w:rsidRPr="00EB22D4" w:rsidRDefault="00C43983" w:rsidP="00706B3C">
            <w:pPr>
              <w:spacing w:after="120" w:line="280" w:lineRule="atLeast"/>
              <w:rPr>
                <w:rFonts w:ascii="Arial" w:hAnsi="Arial" w:cs="Arial"/>
              </w:rPr>
            </w:pPr>
            <w:r w:rsidRPr="00EB22D4">
              <w:rPr>
                <w:rFonts w:ascii="Arial" w:hAnsi="Arial" w:cs="Arial"/>
              </w:rPr>
              <w:t>Lloyd’s specific requirement</w:t>
            </w:r>
          </w:p>
        </w:tc>
      </w:tr>
      <w:tr w:rsidR="002640C7" w:rsidRPr="00887B22" w14:paraId="12DDF253" w14:textId="77777777" w:rsidTr="00CE5536">
        <w:tc>
          <w:tcPr>
            <w:tcW w:w="5625" w:type="dxa"/>
          </w:tcPr>
          <w:p w14:paraId="2A62DE08" w14:textId="77777777" w:rsidR="002640C7" w:rsidRPr="00EB22D4" w:rsidRDefault="002640C7" w:rsidP="007411CA">
            <w:pPr>
              <w:spacing w:after="120" w:line="280" w:lineRule="atLeast"/>
              <w:rPr>
                <w:rFonts w:ascii="Arial" w:hAnsi="Arial" w:cs="Arial"/>
              </w:rPr>
            </w:pPr>
            <w:r w:rsidRPr="00EB22D4">
              <w:rPr>
                <w:rFonts w:ascii="Arial" w:hAnsi="Arial" w:cs="Arial"/>
              </w:rPr>
              <w:t>Managing agent’s report</w:t>
            </w:r>
          </w:p>
        </w:tc>
        <w:tc>
          <w:tcPr>
            <w:tcW w:w="1560" w:type="dxa"/>
          </w:tcPr>
          <w:p w14:paraId="2DECAFAD" w14:textId="77777777" w:rsidR="002640C7" w:rsidRPr="00B7267C" w:rsidRDefault="002640C7" w:rsidP="00706B3C">
            <w:pPr>
              <w:spacing w:after="120" w:line="280" w:lineRule="atLeast"/>
              <w:rPr>
                <w:rFonts w:ascii="Arial" w:hAnsi="Arial" w:cs="Arial"/>
              </w:rPr>
            </w:pPr>
            <w:r w:rsidRPr="00B7267C">
              <w:rPr>
                <w:rFonts w:ascii="Arial" w:hAnsi="Arial" w:cs="Arial"/>
              </w:rPr>
              <w:t>QSR910</w:t>
            </w:r>
          </w:p>
        </w:tc>
        <w:tc>
          <w:tcPr>
            <w:tcW w:w="1842" w:type="dxa"/>
          </w:tcPr>
          <w:p w14:paraId="6C1C405C" w14:textId="77777777" w:rsidR="002640C7" w:rsidRPr="00EB22D4" w:rsidRDefault="00595851" w:rsidP="00706B3C">
            <w:pPr>
              <w:spacing w:after="120" w:line="280" w:lineRule="atLeast"/>
              <w:rPr>
                <w:rFonts w:ascii="Arial" w:hAnsi="Arial" w:cs="Arial"/>
              </w:rPr>
            </w:pPr>
            <w:r w:rsidRPr="00EB22D4">
              <w:rPr>
                <w:rFonts w:ascii="Arial" w:hAnsi="Arial" w:cs="Arial"/>
              </w:rPr>
              <w:t>Lloyd’s specific requirement</w:t>
            </w:r>
            <w:r w:rsidRPr="00EB22D4" w:rsidDel="00595851">
              <w:rPr>
                <w:rFonts w:ascii="Arial" w:hAnsi="Arial" w:cs="Arial"/>
              </w:rPr>
              <w:t xml:space="preserve"> </w:t>
            </w:r>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77777777"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77777777"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77777777"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29CFA05B"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The QSR</w:t>
      </w:r>
      <w:r w:rsidR="005C127F">
        <w:rPr>
          <w:rFonts w:ascii="Arial" w:hAnsi="Arial" w:cs="Arial"/>
        </w:rPr>
        <w:t xml:space="preserve"> and QAD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w:t>
      </w:r>
      <w:r w:rsidR="00C81FE7">
        <w:rPr>
          <w:rFonts w:ascii="Arial" w:hAnsi="Arial" w:cs="Arial"/>
        </w:rPr>
        <w:t>.</w:t>
      </w:r>
      <w:r>
        <w:rPr>
          <w:rFonts w:ascii="Arial" w:hAnsi="Arial" w:cs="Arial"/>
        </w:rPr>
        <w:t xml:space="preserve"> </w:t>
      </w:r>
      <w:r w:rsidR="00E95685">
        <w:rPr>
          <w:rFonts w:ascii="Arial" w:hAnsi="Arial" w:cs="Arial"/>
          <w:b/>
        </w:rPr>
        <w:t>M</w:t>
      </w:r>
      <w:r w:rsidRPr="00E54373">
        <w:rPr>
          <w:rFonts w:ascii="Arial" w:hAnsi="Arial" w:cs="Arial"/>
          <w:b/>
        </w:rPr>
        <w:t>anaging agent’s report</w:t>
      </w:r>
      <w:r w:rsidR="00BE4DE6">
        <w:rPr>
          <w:rFonts w:ascii="Arial" w:hAnsi="Arial" w:cs="Arial"/>
          <w:b/>
        </w:rPr>
        <w:t>s QSR910 and QAD910</w:t>
      </w:r>
      <w:r w:rsidRPr="00E54373">
        <w:rPr>
          <w:rFonts w:ascii="Arial" w:hAnsi="Arial" w:cs="Arial"/>
          <w:b/>
        </w:rPr>
        <w:t>, signed by two directors</w:t>
      </w:r>
      <w:r w:rsidR="00C714D3">
        <w:rPr>
          <w:rFonts w:ascii="Arial" w:hAnsi="Arial" w:cs="Arial"/>
          <w:b/>
        </w:rPr>
        <w:t xml:space="preserve"> or a director and a compliance officer</w:t>
      </w:r>
      <w:r w:rsidRPr="00E54373">
        <w:rPr>
          <w:rFonts w:ascii="Arial" w:hAnsi="Arial" w:cs="Arial"/>
          <w:b/>
        </w:rPr>
        <w:t>, must also be submitted</w:t>
      </w:r>
      <w:r w:rsidR="00E95685">
        <w:rPr>
          <w:rFonts w:ascii="Arial" w:hAnsi="Arial" w:cs="Arial"/>
          <w:b/>
        </w:rPr>
        <w:t xml:space="preserve"> via email to: </w:t>
      </w:r>
      <w:r w:rsidR="00E95685" w:rsidRPr="00E95685">
        <w:rPr>
          <w:rFonts w:ascii="Arial" w:hAnsi="Arial" w:cs="Arial"/>
          <w:b/>
        </w:rPr>
        <w:t>L</w:t>
      </w:r>
      <w:r w:rsidR="00C81DC3">
        <w:rPr>
          <w:rFonts w:ascii="Arial" w:hAnsi="Arial" w:cs="Arial"/>
          <w:b/>
        </w:rPr>
        <w:t>l</w:t>
      </w:r>
      <w:r w:rsidR="00E95685" w:rsidRPr="00E95685">
        <w:rPr>
          <w:rFonts w:ascii="Arial" w:hAnsi="Arial" w:cs="Arial"/>
          <w:b/>
        </w:rPr>
        <w:t>oyds-SolvencyReturns@lloyds.com</w:t>
      </w:r>
      <w:r w:rsidRPr="00E54373">
        <w:rPr>
          <w:rFonts w:ascii="Arial" w:hAnsi="Arial" w:cs="Arial"/>
          <w:b/>
        </w:rPr>
        <w:t xml:space="preserve">. </w:t>
      </w:r>
      <w:r>
        <w:rPr>
          <w:rFonts w:ascii="Arial" w:hAnsi="Arial" w:cs="Arial"/>
        </w:rPr>
        <w:t xml:space="preserve"> </w:t>
      </w:r>
      <w:r w:rsidR="00E54373">
        <w:rPr>
          <w:rFonts w:ascii="Arial" w:hAnsi="Arial" w:cs="Arial"/>
        </w:rPr>
        <w:t xml:space="preserve">The QSR910 </w:t>
      </w:r>
      <w:r w:rsidR="00BE4DE6">
        <w:rPr>
          <w:rFonts w:ascii="Arial" w:hAnsi="Arial" w:cs="Arial"/>
        </w:rPr>
        <w:t xml:space="preserve">and QAD910 </w:t>
      </w:r>
      <w:r w:rsidR="00E54373">
        <w:rPr>
          <w:rFonts w:ascii="Arial" w:hAnsi="Arial" w:cs="Arial"/>
        </w:rPr>
        <w:t>format</w:t>
      </w:r>
      <w:r w:rsidR="00BE4DE6">
        <w:rPr>
          <w:rFonts w:ascii="Arial" w:hAnsi="Arial" w:cs="Arial"/>
        </w:rPr>
        <w:t>s</w:t>
      </w:r>
      <w:r w:rsidR="00E54373">
        <w:rPr>
          <w:rFonts w:ascii="Arial" w:hAnsi="Arial" w:cs="Arial"/>
        </w:rPr>
        <w:t xml:space="preserve"> for this purpose </w:t>
      </w:r>
      <w:r w:rsidR="00BE4DE6">
        <w:rPr>
          <w:rFonts w:ascii="Arial" w:hAnsi="Arial" w:cs="Arial"/>
        </w:rPr>
        <w:t>are</w:t>
      </w:r>
      <w:r w:rsidR="00E54373">
        <w:rPr>
          <w:rFonts w:ascii="Arial" w:hAnsi="Arial" w:cs="Arial"/>
        </w:rPr>
        <w:t xml:space="preserve"> attached as Appendix </w:t>
      </w:r>
      <w:r w:rsidR="00AF07DA">
        <w:rPr>
          <w:rFonts w:ascii="Arial" w:hAnsi="Arial" w:cs="Arial"/>
        </w:rPr>
        <w:t>2</w:t>
      </w:r>
      <w:r w:rsidR="00E54373">
        <w:rPr>
          <w:rFonts w:ascii="Arial" w:hAnsi="Arial" w:cs="Arial"/>
        </w:rPr>
        <w:t>.</w:t>
      </w:r>
      <w:r w:rsidR="00320061">
        <w:rPr>
          <w:rFonts w:ascii="Arial" w:hAnsi="Arial" w:cs="Arial"/>
        </w:rPr>
        <w:t xml:space="preserve">  </w:t>
      </w:r>
    </w:p>
    <w:p w14:paraId="21C3B01E" w14:textId="77777777"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Pr>
          <w:rFonts w:ascii="Arial" w:hAnsi="Arial" w:cs="Arial"/>
        </w:rPr>
        <w:t xml:space="preserve">QSR </w:t>
      </w:r>
      <w:r w:rsidR="00BE4DE6">
        <w:rPr>
          <w:rFonts w:ascii="Arial" w:hAnsi="Arial" w:cs="Arial"/>
        </w:rPr>
        <w:t xml:space="preserve">and QAD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QSR </w:t>
      </w:r>
      <w:r w:rsidR="00BE4DE6">
        <w:rPr>
          <w:rFonts w:ascii="Arial" w:hAnsi="Arial" w:cs="Arial"/>
        </w:rPr>
        <w:t xml:space="preserve">and QAD </w:t>
      </w:r>
      <w:r>
        <w:rPr>
          <w:rFonts w:ascii="Arial" w:hAnsi="Arial" w:cs="Arial"/>
        </w:rPr>
        <w:t xml:space="preserve">form specifications for this purpose </w:t>
      </w:r>
      <w:r w:rsidR="00E54373">
        <w:rPr>
          <w:rFonts w:ascii="Arial" w:hAnsi="Arial" w:cs="Arial"/>
        </w:rPr>
        <w:t xml:space="preserve">are 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lastRenderedPageBreak/>
        <w:t>1.</w:t>
      </w:r>
      <w:r>
        <w:rPr>
          <w:rFonts w:ascii="Arial" w:hAnsi="Arial" w:cs="Arial"/>
          <w:b/>
        </w:rPr>
        <w:t>6</w:t>
      </w:r>
      <w:r w:rsidRPr="0099328C">
        <w:rPr>
          <w:rFonts w:ascii="Arial" w:hAnsi="Arial" w:cs="Arial"/>
          <w:b/>
        </w:rPr>
        <w:tab/>
        <w:t>Confidentiality of information</w:t>
      </w:r>
    </w:p>
    <w:p w14:paraId="4D15E39C" w14:textId="77777777"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 and the </w:t>
      </w:r>
      <w:r w:rsidR="00702B44">
        <w:rPr>
          <w:rFonts w:ascii="Arial" w:hAnsi="Arial" w:cs="Arial"/>
        </w:rPr>
        <w:t>regulator</w:t>
      </w:r>
      <w:r>
        <w:rPr>
          <w:rFonts w:ascii="Arial" w:hAnsi="Arial" w:cs="Arial"/>
        </w:rPr>
        <w:t>.</w:t>
      </w:r>
      <w:bookmarkEnd w:id="8"/>
      <w:bookmarkEnd w:id="9"/>
      <w:bookmarkEnd w:id="10"/>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lastRenderedPageBreak/>
        <w:t xml:space="preserve">Section </w:t>
      </w:r>
      <w:r>
        <w:rPr>
          <w:color w:val="DECC12"/>
        </w:rPr>
        <w:t>2</w:t>
      </w:r>
      <w:r w:rsidRPr="002A0B42">
        <w:rPr>
          <w:color w:val="DECC12"/>
        </w:rPr>
        <w:t>: General instructions</w:t>
      </w:r>
      <w:r w:rsidR="00EC30E1">
        <w:rPr>
          <w:color w:val="DECC12"/>
        </w:rPr>
        <w:t xml:space="preserve"> </w:t>
      </w:r>
    </w:p>
    <w:p w14:paraId="50D9AD39" w14:textId="7777777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QSR and QAD</w:t>
      </w:r>
      <w:r w:rsidRPr="00887B22">
        <w:rPr>
          <w:rFonts w:ascii="Arial" w:hAnsi="Arial" w:cs="Arial"/>
        </w:rPr>
        <w:t xml:space="preserve">. </w:t>
      </w:r>
    </w:p>
    <w:p w14:paraId="49D745A3" w14:textId="77777777" w:rsidR="00CA6AE0" w:rsidRPr="00887B22" w:rsidRDefault="00F56278" w:rsidP="00CA6AE0">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CA6AE0" w:rsidRPr="006F54CB">
        <w:rPr>
          <w:rFonts w:ascii="Arial" w:hAnsi="Arial" w:cs="Arial"/>
          <w:sz w:val="22"/>
          <w:szCs w:val="22"/>
          <w:u w:val="none"/>
        </w:rPr>
        <w:t xml:space="preserve">Pillar </w:t>
      </w:r>
      <w:r w:rsidR="00CA6AE0" w:rsidRPr="00887B22">
        <w:rPr>
          <w:rFonts w:ascii="Arial" w:hAnsi="Arial" w:cs="Arial"/>
          <w:sz w:val="22"/>
          <w:szCs w:val="22"/>
          <w:u w:val="none"/>
        </w:rPr>
        <w:t>3 returns</w:t>
      </w:r>
    </w:p>
    <w:p w14:paraId="62976790" w14:textId="7C9EFF67" w:rsidR="00CA6AE0" w:rsidRPr="00887B22" w:rsidRDefault="00CA6AE0" w:rsidP="00CA6AE0">
      <w:pPr>
        <w:numPr>
          <w:ilvl w:val="2"/>
          <w:numId w:val="10"/>
        </w:numPr>
        <w:spacing w:after="120" w:line="280" w:lineRule="atLeast"/>
        <w:rPr>
          <w:rFonts w:ascii="Arial" w:hAnsi="Arial" w:cs="Arial"/>
        </w:rPr>
      </w:pPr>
      <w:r w:rsidRPr="00522C89">
        <w:rPr>
          <w:rFonts w:ascii="Arial" w:hAnsi="Arial" w:cs="Arial"/>
        </w:rPr>
        <w:t>The</w:t>
      </w:r>
      <w:r w:rsidRPr="000C5AB5">
        <w:rPr>
          <w:rFonts w:ascii="Arial" w:hAnsi="Arial" w:cs="Arial"/>
        </w:rPr>
        <w:t xml:space="preserve"> P</w:t>
      </w:r>
      <w:r w:rsidRPr="000C0464">
        <w:rPr>
          <w:rFonts w:ascii="Arial" w:hAnsi="Arial" w:cs="Arial"/>
        </w:rPr>
        <w:t xml:space="preserve">illar </w:t>
      </w:r>
      <w:r w:rsidRPr="006327B7">
        <w:rPr>
          <w:rFonts w:ascii="Arial" w:hAnsi="Arial" w:cs="Arial"/>
        </w:rPr>
        <w:t>3</w:t>
      </w:r>
      <w:r w:rsidRPr="00164B5D">
        <w:rPr>
          <w:rFonts w:ascii="Arial" w:hAnsi="Arial" w:cs="Arial"/>
        </w:rPr>
        <w:t xml:space="preserve"> returns required to be submitted by syndicates as at </w:t>
      </w:r>
      <w:r w:rsidR="00CA1A44">
        <w:rPr>
          <w:rFonts w:ascii="Arial" w:hAnsi="Arial" w:cs="Arial"/>
        </w:rPr>
        <w:t xml:space="preserve">each </w:t>
      </w:r>
      <w:r>
        <w:rPr>
          <w:rFonts w:ascii="Arial" w:hAnsi="Arial" w:cs="Arial"/>
        </w:rPr>
        <w:t xml:space="preserve">quarterly end date </w:t>
      </w:r>
      <w:r w:rsidRPr="00025FD7">
        <w:rPr>
          <w:rFonts w:ascii="Arial" w:hAnsi="Arial" w:cs="Arial"/>
        </w:rPr>
        <w:t>are based on</w:t>
      </w:r>
      <w:r>
        <w:rPr>
          <w:rFonts w:ascii="Arial" w:hAnsi="Arial" w:cs="Arial"/>
        </w:rPr>
        <w:t xml:space="preserve"> </w:t>
      </w:r>
      <w:r w:rsidRPr="00E54373">
        <w:rPr>
          <w:rFonts w:ascii="Arial" w:hAnsi="Arial" w:cs="Arial"/>
          <w:color w:val="000000"/>
        </w:rPr>
        <w:t>EIOPA Solvency II DPM and XBRL taxonomy package version</w:t>
      </w:r>
      <w:r w:rsidR="00DB2ED3">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Pr="00E54373">
        <w:rPr>
          <w:rFonts w:ascii="Arial" w:hAnsi="Arial" w:cs="Arial"/>
          <w:color w:val="000000"/>
        </w:rPr>
        <w:t xml:space="preserve">, </w:t>
      </w:r>
      <w:r w:rsidRPr="00E54373">
        <w:rPr>
          <w:rFonts w:ascii="Arial" w:hAnsi="Arial" w:cs="Arial"/>
        </w:rPr>
        <w:t xml:space="preserve">EIOPA </w:t>
      </w:r>
      <w:r w:rsidR="003A3802">
        <w:rPr>
          <w:rFonts w:ascii="Arial" w:hAnsi="Arial" w:cs="Arial"/>
        </w:rPr>
        <w:t>filing rules</w:t>
      </w:r>
      <w:r w:rsidRPr="00E54373">
        <w:rPr>
          <w:rFonts w:ascii="Arial" w:hAnsi="Arial" w:cs="Arial"/>
        </w:rPr>
        <w:t xml:space="preserve"> and its underlying regulations</w:t>
      </w:r>
      <w:r>
        <w:rPr>
          <w:rFonts w:ascii="Arial" w:hAnsi="Arial" w:cs="Arial"/>
        </w:rPr>
        <w:t>,</w:t>
      </w:r>
      <w:r w:rsidRPr="00887B22">
        <w:rPr>
          <w:rFonts w:ascii="Arial" w:hAnsi="Arial" w:cs="Arial"/>
        </w:rPr>
        <w:t xml:space="preserve"> but tailored where necessary to cover areas of relevance to Lloyd’s syndicates. </w:t>
      </w:r>
    </w:p>
    <w:p w14:paraId="656CE7F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asset data should be reported in the </w:t>
      </w:r>
      <w:r>
        <w:rPr>
          <w:rFonts w:ascii="Arial" w:hAnsi="Arial" w:cs="Arial"/>
        </w:rPr>
        <w:t>QAD</w:t>
      </w:r>
      <w:r w:rsidRPr="00887B22">
        <w:rPr>
          <w:rFonts w:ascii="Arial" w:hAnsi="Arial" w:cs="Arial"/>
        </w:rPr>
        <w:t xml:space="preserve"> with all the rest of the Solvency II information reported in the </w:t>
      </w:r>
      <w:r>
        <w:rPr>
          <w:rFonts w:ascii="Arial" w:hAnsi="Arial" w:cs="Arial"/>
        </w:rPr>
        <w:t>QSR</w:t>
      </w:r>
      <w:r w:rsidRPr="00887B22">
        <w:rPr>
          <w:rFonts w:ascii="Arial" w:hAnsi="Arial" w:cs="Arial"/>
        </w:rPr>
        <w:t>.</w:t>
      </w:r>
      <w:r w:rsidRPr="00887B22" w:rsidDel="0015478D">
        <w:rPr>
          <w:rFonts w:ascii="Arial" w:hAnsi="Arial" w:cs="Arial"/>
        </w:rPr>
        <w:t xml:space="preserve"> </w:t>
      </w:r>
    </w:p>
    <w:p w14:paraId="1E0CA53C" w14:textId="1CA6076D"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QSR</w:t>
      </w:r>
      <w:r w:rsidRPr="00887B22">
        <w:rPr>
          <w:rFonts w:ascii="Arial" w:hAnsi="Arial" w:cs="Arial"/>
        </w:rPr>
        <w:t xml:space="preserve"> is a synchronous return</w:t>
      </w:r>
      <w:r w:rsidR="00401CE7">
        <w:rPr>
          <w:rFonts w:ascii="Arial" w:hAnsi="Arial" w:cs="Arial"/>
        </w:rPr>
        <w:t xml:space="preserve"> </w:t>
      </w:r>
      <w:r w:rsidRPr="00887B22">
        <w:rPr>
          <w:rFonts w:ascii="Arial" w:hAnsi="Arial" w:cs="Arial"/>
        </w:rPr>
        <w:t xml:space="preserve">while </w:t>
      </w:r>
      <w:r>
        <w:rPr>
          <w:rFonts w:ascii="Arial" w:hAnsi="Arial" w:cs="Arial"/>
        </w:rPr>
        <w:t xml:space="preserve">the QAD </w:t>
      </w:r>
      <w:r w:rsidRPr="00887B22">
        <w:rPr>
          <w:rFonts w:ascii="Arial" w:hAnsi="Arial" w:cs="Arial"/>
        </w:rPr>
        <w:t xml:space="preserve">is an asynchronous return due to the high volume of data required. </w:t>
      </w:r>
    </w:p>
    <w:p w14:paraId="662BBDD8"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371EF983" w14:textId="28779995"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 Below are some of the features:</w:t>
      </w:r>
    </w:p>
    <w:p w14:paraId="3A56DB99" w14:textId="77777777" w:rsidR="00CA6AE0" w:rsidRPr="00887B22" w:rsidRDefault="00CA6AE0" w:rsidP="00117046">
      <w:pPr>
        <w:numPr>
          <w:ilvl w:val="0"/>
          <w:numId w:val="28"/>
        </w:numPr>
        <w:spacing w:after="120" w:line="280" w:lineRule="atLeast"/>
        <w:rPr>
          <w:rFonts w:ascii="Arial" w:hAnsi="Arial" w:cs="Arial"/>
        </w:rPr>
      </w:pPr>
      <w:r w:rsidRPr="00887B22">
        <w:rPr>
          <w:rFonts w:ascii="Arial" w:hAnsi="Arial" w:cs="Arial"/>
        </w:rPr>
        <w:t>data can be input to CMR either through the user interface or in csv format</w:t>
      </w:r>
    </w:p>
    <w:p w14:paraId="31336196"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data submitted in csv format can be edited via the user interface</w:t>
      </w:r>
    </w:p>
    <w:p w14:paraId="1B338BA4"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validations are done as and when the data is input</w:t>
      </w:r>
    </w:p>
    <w:p w14:paraId="2380C562"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all data can be printed</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0C2A51CD"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2AEBB233"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(QSR910</w:t>
      </w:r>
      <w:r w:rsidR="00294680">
        <w:rPr>
          <w:rFonts w:ascii="Arial" w:hAnsi="Arial" w:cs="Arial"/>
        </w:rPr>
        <w:t xml:space="preserve"> and QAD910</w:t>
      </w:r>
      <w:r>
        <w:rPr>
          <w:rFonts w:ascii="Arial" w:hAnsi="Arial" w:cs="Arial"/>
        </w:rPr>
        <w:t xml:space="preserve">) must be completed for the </w:t>
      </w:r>
      <w:r w:rsidR="00294680">
        <w:rPr>
          <w:rFonts w:ascii="Arial" w:hAnsi="Arial" w:cs="Arial"/>
        </w:rPr>
        <w:t>both QSR and 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ind w:left="576"/>
        <w:rPr>
          <w:rFonts w:ascii="Arial" w:hAnsi="Arial" w:cs="Arial"/>
          <w:sz w:val="22"/>
          <w:szCs w:val="22"/>
          <w:u w:val="none"/>
        </w:rPr>
      </w:pPr>
      <w:bookmarkStart w:id="733" w:name="_Toc346004427"/>
      <w:bookmarkStart w:id="734" w:name="_Toc346092643"/>
      <w:bookmarkStart w:id="735" w:name="_Toc346099733"/>
      <w:bookmarkStart w:id="736" w:name="_Toc346099913"/>
      <w:bookmarkStart w:id="737" w:name="_Toc346100037"/>
      <w:bookmarkStart w:id="738" w:name="_Toc346100140"/>
      <w:bookmarkStart w:id="739" w:name="_Toc346100243"/>
      <w:bookmarkStart w:id="740" w:name="_Toc346118550"/>
      <w:bookmarkStart w:id="741" w:name="_Toc346193826"/>
      <w:bookmarkStart w:id="742" w:name="_Toc346269041"/>
      <w:bookmarkStart w:id="743" w:name="_Toc346528032"/>
      <w:bookmarkStart w:id="744" w:name="_Toc346541160"/>
      <w:bookmarkStart w:id="745" w:name="_Toc346628670"/>
      <w:bookmarkStart w:id="746" w:name="_Toc346635577"/>
      <w:bookmarkStart w:id="747" w:name="_Toc346705503"/>
      <w:bookmarkStart w:id="748" w:name="_Toc346801685"/>
      <w:bookmarkStart w:id="749" w:name="_Toc346801812"/>
      <w:bookmarkStart w:id="750" w:name="_Toc346801937"/>
      <w:bookmarkStart w:id="751" w:name="_Toc346869402"/>
      <w:bookmarkStart w:id="752" w:name="_Toc346886781"/>
      <w:bookmarkStart w:id="753" w:name="_Toc346893446"/>
      <w:bookmarkStart w:id="754" w:name="_Toc346896575"/>
      <w:bookmarkStart w:id="755" w:name="_Toc347127742"/>
      <w:bookmarkStart w:id="756" w:name="_Toc347131435"/>
      <w:bookmarkStart w:id="757" w:name="_Toc347133525"/>
      <w:bookmarkStart w:id="758" w:name="_Toc347135296"/>
      <w:bookmarkStart w:id="759" w:name="_Toc347138594"/>
      <w:bookmarkStart w:id="760" w:name="_Toc347152436"/>
      <w:bookmarkStart w:id="761" w:name="_Toc347152569"/>
      <w:bookmarkStart w:id="762" w:name="_Toc347152924"/>
      <w:bookmarkStart w:id="763" w:name="_Toc347214369"/>
      <w:bookmarkStart w:id="764" w:name="_Toc347303054"/>
      <w:bookmarkStart w:id="765" w:name="_Toc347387072"/>
      <w:bookmarkStart w:id="766" w:name="_Toc347477313"/>
      <w:bookmarkStart w:id="767" w:name="_Toc347492909"/>
      <w:bookmarkStart w:id="768" w:name="_Toc347494879"/>
      <w:bookmarkStart w:id="769" w:name="_Toc347501098"/>
      <w:bookmarkStart w:id="770" w:name="_Toc392513161"/>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770"/>
    </w:p>
    <w:p w14:paraId="0013E1C7" w14:textId="77777777" w:rsidR="004A1C88" w:rsidRPr="00887B22" w:rsidRDefault="004A1C88" w:rsidP="00F94045">
      <w:pPr>
        <w:spacing w:before="120" w:after="120" w:line="280" w:lineRule="atLeast"/>
        <w:rPr>
          <w:rFonts w:ascii="Arial" w:hAnsi="Arial" w:cs="Arial"/>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tcPr>
          <w:p w14:paraId="6767CDEC" w14:textId="13D79B7D" w:rsidR="000B00E5" w:rsidRDefault="00E63490" w:rsidP="000B00E5">
            <w:pPr>
              <w:spacing w:before="120" w:after="120" w:line="280" w:lineRule="atLeast"/>
              <w:jc w:val="both"/>
              <w:rPr>
                <w:rFonts w:ascii="Arial" w:hAnsi="Arial" w:cs="Arial"/>
              </w:rPr>
            </w:pPr>
            <w:r>
              <w:rPr>
                <w:rFonts w:ascii="Arial" w:hAnsi="Arial" w:cs="Arial"/>
              </w:rPr>
              <w:t>Q</w:t>
            </w:r>
            <w:r w:rsidR="00450FCC">
              <w:rPr>
                <w:rFonts w:ascii="Arial" w:hAnsi="Arial" w:cs="Arial"/>
              </w:rPr>
              <w:t>3</w:t>
            </w:r>
            <w:r>
              <w:rPr>
                <w:rFonts w:ascii="Arial" w:hAnsi="Arial" w:cs="Arial"/>
              </w:rPr>
              <w:t xml:space="preserve"> 202</w:t>
            </w:r>
            <w:r w:rsidR="0002759F">
              <w:rPr>
                <w:rFonts w:ascii="Arial" w:hAnsi="Arial" w:cs="Arial"/>
              </w:rPr>
              <w:t>5</w:t>
            </w:r>
          </w:p>
        </w:tc>
        <w:tc>
          <w:tcPr>
            <w:tcW w:w="2815" w:type="dxa"/>
          </w:tcPr>
          <w:p w14:paraId="1453CC3A" w14:textId="60A03E90" w:rsidR="000B00E5" w:rsidRDefault="00450FCC" w:rsidP="000B00E5">
            <w:pPr>
              <w:spacing w:before="120" w:after="120" w:line="280" w:lineRule="atLeast"/>
              <w:jc w:val="both"/>
              <w:rPr>
                <w:rFonts w:ascii="Arial" w:hAnsi="Arial" w:cs="Arial"/>
              </w:rPr>
            </w:pPr>
            <w:r>
              <w:rPr>
                <w:rFonts w:ascii="Arial" w:hAnsi="Arial" w:cs="Arial"/>
              </w:rPr>
              <w:t xml:space="preserve">Tuesday </w:t>
            </w:r>
            <w:r w:rsidR="005245BB">
              <w:rPr>
                <w:rFonts w:ascii="Arial" w:hAnsi="Arial" w:cs="Arial"/>
              </w:rPr>
              <w:t xml:space="preserve">21 </w:t>
            </w:r>
            <w:r>
              <w:rPr>
                <w:rFonts w:ascii="Arial" w:hAnsi="Arial" w:cs="Arial"/>
              </w:rPr>
              <w:t xml:space="preserve">October </w:t>
            </w:r>
            <w:r w:rsidR="000B00E5">
              <w:rPr>
                <w:rFonts w:ascii="Arial" w:hAnsi="Arial" w:cs="Arial"/>
              </w:rPr>
              <w:t>202</w:t>
            </w:r>
            <w:r w:rsidR="00812124">
              <w:rPr>
                <w:rFonts w:ascii="Arial" w:hAnsi="Arial" w:cs="Arial"/>
              </w:rPr>
              <w:t>5</w:t>
            </w:r>
          </w:p>
        </w:tc>
        <w:tc>
          <w:tcPr>
            <w:tcW w:w="1417" w:type="dxa"/>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6B57CCC3" w:rsidR="004A1C88" w:rsidRDefault="004A1C88" w:rsidP="00887B22">
      <w:pPr>
        <w:spacing w:before="120" w:after="120" w:line="280" w:lineRule="atLeast"/>
        <w:ind w:left="720" w:hanging="720"/>
        <w:rPr>
          <w:rFonts w:ascii="Arial" w:hAnsi="Arial" w:cs="Arial"/>
        </w:rPr>
      </w:pPr>
      <w:r w:rsidRPr="00887B22">
        <w:rPr>
          <w:rFonts w:ascii="Arial" w:hAnsi="Arial" w:cs="Arial"/>
        </w:rPr>
        <w:lastRenderedPageBreak/>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r w:rsidR="00604183">
        <w:rPr>
          <w:rFonts w:ascii="Arial" w:hAnsi="Arial" w:cs="Arial"/>
        </w:rPr>
        <w:t>s</w:t>
      </w:r>
      <w:r w:rsidRPr="00887B22">
        <w:rPr>
          <w:rFonts w:ascii="Arial" w:hAnsi="Arial" w:cs="Arial"/>
        </w:rPr>
        <w:t xml:space="preserve"> (</w:t>
      </w:r>
      <w:r>
        <w:rPr>
          <w:rFonts w:ascii="Arial" w:hAnsi="Arial" w:cs="Arial"/>
        </w:rPr>
        <w:t>QSR</w:t>
      </w:r>
      <w:r w:rsidRPr="00887B22">
        <w:rPr>
          <w:rFonts w:ascii="Arial" w:hAnsi="Arial" w:cs="Arial"/>
        </w:rPr>
        <w:t>910</w:t>
      </w:r>
      <w:r w:rsidR="00604183">
        <w:rPr>
          <w:rFonts w:ascii="Arial" w:hAnsi="Arial" w:cs="Arial"/>
        </w:rPr>
        <w:t xml:space="preserve"> and 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RDefault="00025F62" w:rsidP="00887B22">
      <w:pPr>
        <w:spacing w:before="120" w:after="120" w:line="280" w:lineRule="atLeast"/>
        <w:ind w:left="720" w:hanging="720"/>
        <w:rPr>
          <w:rFonts w:ascii="Arial" w:hAnsi="Arial" w:cs="Arial"/>
        </w:rPr>
      </w:pPr>
    </w:p>
    <w:p w14:paraId="79C82102" w14:textId="77777777" w:rsidR="004A1C88" w:rsidRPr="00887B22" w:rsidRDefault="0062697A" w:rsidP="004A1C88">
      <w:pPr>
        <w:pStyle w:val="Heading2"/>
        <w:spacing w:after="120" w:line="280" w:lineRule="atLeast"/>
        <w:ind w:left="576"/>
        <w:rPr>
          <w:rFonts w:ascii="Arial" w:hAnsi="Arial" w:cs="Arial"/>
          <w:sz w:val="22"/>
          <w:szCs w:val="22"/>
          <w:u w:val="none"/>
        </w:rPr>
      </w:pPr>
      <w:bookmarkStart w:id="771" w:name="_Toc346004429"/>
      <w:bookmarkStart w:id="772" w:name="_Toc346092645"/>
      <w:bookmarkStart w:id="773" w:name="_Toc346099735"/>
      <w:bookmarkStart w:id="774" w:name="_Toc346099915"/>
      <w:bookmarkStart w:id="775" w:name="_Toc346100039"/>
      <w:bookmarkStart w:id="776" w:name="_Toc346100142"/>
      <w:bookmarkStart w:id="777" w:name="_Toc346100245"/>
      <w:bookmarkStart w:id="778" w:name="_Toc346118552"/>
      <w:bookmarkStart w:id="779" w:name="_Toc346193828"/>
      <w:bookmarkStart w:id="780" w:name="_Toc346269043"/>
      <w:bookmarkStart w:id="781" w:name="_Toc346528034"/>
      <w:bookmarkStart w:id="782" w:name="_Toc346541162"/>
      <w:bookmarkStart w:id="783" w:name="_Toc346628672"/>
      <w:bookmarkStart w:id="784" w:name="_Toc346635579"/>
      <w:bookmarkStart w:id="785" w:name="_Toc346705505"/>
      <w:bookmarkStart w:id="786" w:name="_Toc346801687"/>
      <w:bookmarkStart w:id="787" w:name="_Toc346801814"/>
      <w:bookmarkStart w:id="788" w:name="_Toc346801939"/>
      <w:bookmarkStart w:id="789" w:name="_Toc346869404"/>
      <w:bookmarkStart w:id="790" w:name="_Toc346886783"/>
      <w:bookmarkStart w:id="791" w:name="_Toc346893448"/>
      <w:bookmarkStart w:id="792" w:name="_Toc346896577"/>
      <w:bookmarkStart w:id="793" w:name="_Toc347127744"/>
      <w:bookmarkStart w:id="794" w:name="_Toc347131437"/>
      <w:bookmarkStart w:id="795" w:name="_Toc347133527"/>
      <w:bookmarkStart w:id="796" w:name="_Toc347135298"/>
      <w:bookmarkStart w:id="797" w:name="_Toc347138596"/>
      <w:bookmarkStart w:id="798" w:name="_Toc347152438"/>
      <w:bookmarkStart w:id="799" w:name="_Toc347152571"/>
      <w:bookmarkStart w:id="800" w:name="_Toc347152926"/>
      <w:bookmarkStart w:id="801" w:name="_Toc347214371"/>
      <w:bookmarkStart w:id="802" w:name="_Toc347303056"/>
      <w:bookmarkStart w:id="803" w:name="_Toc347387074"/>
      <w:bookmarkStart w:id="804" w:name="_Toc347477315"/>
      <w:bookmarkStart w:id="805" w:name="_Toc347492911"/>
      <w:bookmarkStart w:id="806" w:name="_Toc347494881"/>
      <w:bookmarkStart w:id="807" w:name="_Toc347501100"/>
      <w:bookmarkStart w:id="808" w:name="_Toc290978019"/>
      <w:bookmarkStart w:id="809" w:name="_Toc290978121"/>
      <w:bookmarkStart w:id="810" w:name="_Toc290978321"/>
      <w:bookmarkStart w:id="811" w:name="_Toc290978421"/>
      <w:bookmarkStart w:id="812" w:name="_Toc290978512"/>
      <w:bookmarkStart w:id="813" w:name="_Toc290978603"/>
      <w:bookmarkStart w:id="814" w:name="_Toc290978694"/>
      <w:bookmarkStart w:id="815" w:name="_Toc290978785"/>
      <w:bookmarkStart w:id="816" w:name="_Toc290989379"/>
      <w:bookmarkStart w:id="817" w:name="_Toc290989557"/>
      <w:bookmarkStart w:id="818" w:name="_Toc291143517"/>
      <w:bookmarkStart w:id="819" w:name="_Toc291143608"/>
      <w:bookmarkStart w:id="820" w:name="_Toc291143946"/>
      <w:bookmarkStart w:id="821" w:name="_Toc291144315"/>
      <w:bookmarkStart w:id="822" w:name="_Toc291144978"/>
      <w:bookmarkStart w:id="823" w:name="_Toc294252502"/>
      <w:bookmarkStart w:id="824" w:name="_Toc294272196"/>
      <w:bookmarkStart w:id="825" w:name="_Toc294772939"/>
      <w:bookmarkStart w:id="826" w:name="_Toc294774736"/>
      <w:bookmarkStart w:id="827" w:name="_Toc294776337"/>
      <w:bookmarkStart w:id="828" w:name="_Toc294776999"/>
      <w:bookmarkStart w:id="829" w:name="_Toc294777132"/>
      <w:bookmarkStart w:id="830" w:name="_Toc294777264"/>
      <w:bookmarkStart w:id="831" w:name="_Toc294777395"/>
      <w:bookmarkStart w:id="832" w:name="_Toc294777526"/>
      <w:bookmarkStart w:id="833" w:name="_Toc294777656"/>
      <w:bookmarkStart w:id="834" w:name="_Toc294779071"/>
      <w:bookmarkStart w:id="835" w:name="_Toc294779930"/>
      <w:bookmarkStart w:id="836" w:name="_Toc294785558"/>
      <w:bookmarkStart w:id="837" w:name="_Toc294791495"/>
      <w:bookmarkStart w:id="838" w:name="_Toc294793929"/>
      <w:bookmarkStart w:id="839" w:name="_Toc294794314"/>
      <w:bookmarkStart w:id="840" w:name="_Toc294794464"/>
      <w:bookmarkStart w:id="841" w:name="_Toc294794610"/>
      <w:bookmarkStart w:id="842" w:name="_Toc294794755"/>
      <w:bookmarkStart w:id="843" w:name="_Toc294794899"/>
      <w:bookmarkStart w:id="844" w:name="_Toc294795038"/>
      <w:bookmarkStart w:id="845" w:name="_Toc294795177"/>
      <w:bookmarkStart w:id="846" w:name="_Toc294795314"/>
      <w:bookmarkStart w:id="847" w:name="_Toc294795450"/>
      <w:bookmarkStart w:id="848" w:name="_Toc294797632"/>
      <w:bookmarkStart w:id="849" w:name="_Toc294858459"/>
      <w:bookmarkStart w:id="850" w:name="_Toc298767389"/>
      <w:bookmarkStart w:id="851" w:name="_Toc298771415"/>
      <w:bookmarkStart w:id="852" w:name="_Toc298853334"/>
      <w:bookmarkStart w:id="853" w:name="_Toc299548066"/>
      <w:bookmarkStart w:id="854" w:name="_Toc299548206"/>
      <w:bookmarkStart w:id="855" w:name="_Toc299548347"/>
      <w:bookmarkStart w:id="856" w:name="_Toc299549124"/>
      <w:bookmarkStart w:id="857" w:name="_Toc299549318"/>
      <w:bookmarkStart w:id="858" w:name="_Toc299549514"/>
      <w:bookmarkStart w:id="859" w:name="_Toc299549515"/>
      <w:bookmarkStart w:id="860" w:name="_Toc343002954"/>
      <w:bookmarkStart w:id="861" w:name="_Toc352675358"/>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Pr>
          <w:rFonts w:ascii="Arial" w:hAnsi="Arial" w:cs="Arial"/>
          <w:sz w:val="22"/>
          <w:szCs w:val="22"/>
          <w:u w:val="none"/>
        </w:rPr>
        <w:t xml:space="preserve">  </w:t>
      </w:r>
      <w:r w:rsidR="004A1C88" w:rsidRPr="006F54CB">
        <w:rPr>
          <w:rFonts w:ascii="Arial" w:hAnsi="Arial" w:cs="Arial"/>
          <w:sz w:val="22"/>
          <w:szCs w:val="22"/>
          <w:u w:val="none"/>
        </w:rPr>
        <w:t>Key contacts</w:t>
      </w:r>
      <w:bookmarkEnd w:id="859"/>
      <w:bookmarkEnd w:id="860"/>
      <w:bookmarkEnd w:id="861"/>
    </w:p>
    <w:p w14:paraId="0DA74549" w14:textId="205463F7"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Pillar 3 returns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7" w:history="1">
        <w:r w:rsidRPr="00887B22">
          <w:rPr>
            <w:rStyle w:val="Hyperlink"/>
            <w:rFonts w:ascii="Arial" w:hAnsi="Arial" w:cs="Arial"/>
          </w:rPr>
          <w:t>Lloyds-SolvencyR</w:t>
        </w:r>
        <w:bookmarkStart w:id="862" w:name="_Hlt23649286"/>
        <w:r w:rsidRPr="00887B22">
          <w:rPr>
            <w:rStyle w:val="Hyperlink"/>
            <w:rFonts w:ascii="Arial" w:hAnsi="Arial" w:cs="Arial"/>
          </w:rPr>
          <w:t>e</w:t>
        </w:r>
        <w:bookmarkEnd w:id="862"/>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77777777"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ey contacts within the Corporation of Lloyd’s in relation to the Pillar 3 returns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E63490" w:rsidRPr="00887B22" w14:paraId="65296D7B" w14:textId="77777777" w:rsidTr="006B7A1C">
        <w:tc>
          <w:tcPr>
            <w:tcW w:w="1843" w:type="dxa"/>
          </w:tcPr>
          <w:p w14:paraId="44E70ED8" w14:textId="6612C448" w:rsidR="00E63490" w:rsidRDefault="00045D34" w:rsidP="0076519A">
            <w:pPr>
              <w:tabs>
                <w:tab w:val="left" w:pos="567"/>
              </w:tabs>
              <w:spacing w:after="120" w:line="280" w:lineRule="atLeast"/>
              <w:ind w:left="147"/>
              <w:rPr>
                <w:rFonts w:ascii="Arial" w:hAnsi="Arial" w:cs="Arial"/>
                <w:color w:val="000000"/>
              </w:rPr>
            </w:pPr>
            <w:r w:rsidRPr="0B1146AB">
              <w:rPr>
                <w:rFonts w:ascii="Arial" w:hAnsi="Arial" w:cs="Arial"/>
                <w:color w:val="000000" w:themeColor="text1"/>
              </w:rPr>
              <w:t>Sachin Patel</w:t>
            </w:r>
          </w:p>
        </w:tc>
        <w:tc>
          <w:tcPr>
            <w:tcW w:w="3572" w:type="dxa"/>
          </w:tcPr>
          <w:p w14:paraId="6F313E32" w14:textId="0ADD4732" w:rsidR="00E63490" w:rsidRPr="008213E9" w:rsidRDefault="00166CD8"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Reporting Accountant</w:t>
            </w:r>
          </w:p>
        </w:tc>
        <w:tc>
          <w:tcPr>
            <w:tcW w:w="3232" w:type="dxa"/>
          </w:tcPr>
          <w:p w14:paraId="4F2BFA2D" w14:textId="66010674" w:rsidR="00CE3EFE" w:rsidRPr="00F94045" w:rsidRDefault="0040526A" w:rsidP="006B3ACE">
            <w:pPr>
              <w:tabs>
                <w:tab w:val="left" w:pos="567"/>
              </w:tabs>
              <w:spacing w:after="120" w:line="280" w:lineRule="atLeast"/>
              <w:ind w:left="147"/>
              <w:jc w:val="both"/>
              <w:rPr>
                <w:rStyle w:val="Hyperlink"/>
              </w:rPr>
            </w:pPr>
            <w:r>
              <w:rPr>
                <w:rStyle w:val="Hyperlink"/>
                <w:rFonts w:asciiTheme="minorBidi" w:hAnsiTheme="minorBidi" w:cstheme="minorBidi"/>
              </w:rPr>
              <w:t>s</w:t>
            </w:r>
            <w:r w:rsidRPr="00F94045">
              <w:rPr>
                <w:rStyle w:val="Hyperlink"/>
                <w:rFonts w:asciiTheme="minorBidi" w:hAnsiTheme="minorBidi" w:cstheme="minorBidi"/>
              </w:rPr>
              <w:t>achin.</w:t>
            </w:r>
            <w:r>
              <w:rPr>
                <w:rStyle w:val="Hyperlink"/>
                <w:rFonts w:asciiTheme="minorBidi" w:hAnsiTheme="minorBidi" w:cstheme="minorBidi"/>
              </w:rPr>
              <w:t>p</w:t>
            </w:r>
            <w:r w:rsidRPr="00F94045">
              <w:rPr>
                <w:rStyle w:val="Hyperlink"/>
                <w:rFonts w:asciiTheme="minorBidi" w:hAnsiTheme="minorBidi" w:cstheme="minorBidi"/>
              </w:rPr>
              <w:t>atel@lloyds.com</w:t>
            </w: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Default="0062697A" w:rsidP="004A1C88">
      <w:pPr>
        <w:pStyle w:val="Heading2"/>
        <w:spacing w:after="120" w:line="280" w:lineRule="atLeast"/>
        <w:ind w:left="576"/>
        <w:rPr>
          <w:rFonts w:ascii="Arial" w:hAnsi="Arial" w:cs="Arial"/>
          <w:sz w:val="22"/>
          <w:szCs w:val="22"/>
          <w:u w:val="none"/>
        </w:rPr>
      </w:pPr>
      <w:bookmarkStart w:id="863" w:name="_Toc294272198"/>
      <w:bookmarkStart w:id="864" w:name="_Toc294772941"/>
      <w:bookmarkStart w:id="865" w:name="_Toc294774738"/>
      <w:bookmarkStart w:id="866" w:name="_Toc294776339"/>
      <w:bookmarkStart w:id="867" w:name="_Toc294777001"/>
      <w:bookmarkStart w:id="868" w:name="_Toc294777134"/>
      <w:bookmarkStart w:id="869" w:name="_Toc294777266"/>
      <w:bookmarkStart w:id="870" w:name="_Toc294777397"/>
      <w:bookmarkStart w:id="871" w:name="_Toc294777528"/>
      <w:bookmarkStart w:id="872" w:name="_Toc294777658"/>
      <w:bookmarkStart w:id="873" w:name="_Toc294779073"/>
      <w:bookmarkStart w:id="874" w:name="_Toc294779932"/>
      <w:bookmarkStart w:id="875" w:name="_Toc294785560"/>
      <w:bookmarkStart w:id="876" w:name="_Toc294791497"/>
      <w:bookmarkStart w:id="877" w:name="_Toc294793931"/>
      <w:bookmarkStart w:id="878" w:name="_Toc294794316"/>
      <w:bookmarkStart w:id="879" w:name="_Toc294794466"/>
      <w:bookmarkStart w:id="880" w:name="_Toc294794612"/>
      <w:bookmarkStart w:id="881" w:name="_Toc294794757"/>
      <w:bookmarkStart w:id="882" w:name="_Toc294794901"/>
      <w:bookmarkStart w:id="883" w:name="_Toc294795040"/>
      <w:bookmarkStart w:id="884" w:name="_Toc294795179"/>
      <w:bookmarkStart w:id="885" w:name="_Toc294795316"/>
      <w:bookmarkStart w:id="886" w:name="_Toc294795452"/>
      <w:bookmarkStart w:id="887" w:name="_Toc294797634"/>
      <w:bookmarkStart w:id="888" w:name="_Toc294858461"/>
      <w:bookmarkStart w:id="889" w:name="_Toc298767391"/>
      <w:bookmarkStart w:id="890" w:name="_Toc298771417"/>
      <w:bookmarkStart w:id="891" w:name="_Toc298853336"/>
      <w:bookmarkStart w:id="892" w:name="_Toc299548068"/>
      <w:bookmarkStart w:id="893" w:name="_Toc299548208"/>
      <w:bookmarkStart w:id="894" w:name="_Toc299548349"/>
      <w:bookmarkStart w:id="895" w:name="_Toc299549126"/>
      <w:bookmarkStart w:id="896" w:name="_Toc299549320"/>
      <w:bookmarkStart w:id="897" w:name="_Toc299549516"/>
      <w:bookmarkStart w:id="898" w:name="_Toc294252504"/>
      <w:bookmarkStart w:id="899" w:name="_Toc294272199"/>
      <w:bookmarkStart w:id="900" w:name="_Toc294772942"/>
      <w:bookmarkStart w:id="901" w:name="_Toc294774739"/>
      <w:bookmarkStart w:id="902" w:name="_Toc294776340"/>
      <w:bookmarkStart w:id="903" w:name="_Toc294777002"/>
      <w:bookmarkStart w:id="904" w:name="_Toc294777135"/>
      <w:bookmarkStart w:id="905" w:name="_Toc294777267"/>
      <w:bookmarkStart w:id="906" w:name="_Toc294777398"/>
      <w:bookmarkStart w:id="907" w:name="_Toc294777529"/>
      <w:bookmarkStart w:id="908" w:name="_Toc294777659"/>
      <w:bookmarkStart w:id="909" w:name="_Toc294779074"/>
      <w:bookmarkStart w:id="910" w:name="_Toc294779933"/>
      <w:bookmarkStart w:id="911" w:name="_Toc294785561"/>
      <w:bookmarkStart w:id="912" w:name="_Toc294791498"/>
      <w:bookmarkStart w:id="913" w:name="_Toc294793932"/>
      <w:bookmarkStart w:id="914" w:name="_Toc294794317"/>
      <w:bookmarkStart w:id="915" w:name="_Toc294794467"/>
      <w:bookmarkStart w:id="916" w:name="_Toc294794613"/>
      <w:bookmarkStart w:id="917" w:name="_Toc294794758"/>
      <w:bookmarkStart w:id="918" w:name="_Toc294794902"/>
      <w:bookmarkStart w:id="919" w:name="_Toc294795041"/>
      <w:bookmarkStart w:id="920" w:name="_Toc294795180"/>
      <w:bookmarkStart w:id="921" w:name="_Toc294795317"/>
      <w:bookmarkStart w:id="922" w:name="_Toc294795453"/>
      <w:bookmarkStart w:id="923" w:name="_Toc294797635"/>
      <w:bookmarkStart w:id="924" w:name="_Toc294858462"/>
      <w:bookmarkStart w:id="925" w:name="_Toc298767392"/>
      <w:bookmarkStart w:id="926" w:name="_Toc298771418"/>
      <w:bookmarkStart w:id="927" w:name="_Toc298853337"/>
      <w:bookmarkStart w:id="928" w:name="_Toc299548069"/>
      <w:bookmarkStart w:id="929" w:name="_Toc299548209"/>
      <w:bookmarkStart w:id="930" w:name="_Toc299548350"/>
      <w:bookmarkStart w:id="931" w:name="_Toc299549127"/>
      <w:bookmarkStart w:id="932" w:name="_Toc299549321"/>
      <w:bookmarkStart w:id="933" w:name="_Toc299549517"/>
      <w:bookmarkStart w:id="934" w:name="_Toc294252505"/>
      <w:bookmarkStart w:id="935" w:name="_Toc294272200"/>
      <w:bookmarkStart w:id="936" w:name="_Toc294772943"/>
      <w:bookmarkStart w:id="937" w:name="_Toc294774740"/>
      <w:bookmarkStart w:id="938" w:name="_Toc294776341"/>
      <w:bookmarkStart w:id="939" w:name="_Toc294777003"/>
      <w:bookmarkStart w:id="940" w:name="_Toc294777136"/>
      <w:bookmarkStart w:id="941" w:name="_Toc294777268"/>
      <w:bookmarkStart w:id="942" w:name="_Toc294777399"/>
      <w:bookmarkStart w:id="943" w:name="_Toc294777530"/>
      <w:bookmarkStart w:id="944" w:name="_Toc294777660"/>
      <w:bookmarkStart w:id="945" w:name="_Toc294779075"/>
      <w:bookmarkStart w:id="946" w:name="_Toc294779934"/>
      <w:bookmarkStart w:id="947" w:name="_Toc294785562"/>
      <w:bookmarkStart w:id="948" w:name="_Toc294791499"/>
      <w:bookmarkStart w:id="949" w:name="_Toc294793933"/>
      <w:bookmarkStart w:id="950" w:name="_Toc294794318"/>
      <w:bookmarkStart w:id="951" w:name="_Toc294794468"/>
      <w:bookmarkStart w:id="952" w:name="_Toc294794614"/>
      <w:bookmarkStart w:id="953" w:name="_Toc294794759"/>
      <w:bookmarkStart w:id="954" w:name="_Toc294794903"/>
      <w:bookmarkStart w:id="955" w:name="_Toc294795042"/>
      <w:bookmarkStart w:id="956" w:name="_Toc294795181"/>
      <w:bookmarkStart w:id="957" w:name="_Toc294795318"/>
      <w:bookmarkStart w:id="958" w:name="_Toc294795454"/>
      <w:bookmarkStart w:id="959" w:name="_Toc294797636"/>
      <w:bookmarkStart w:id="960" w:name="_Toc294858463"/>
      <w:bookmarkStart w:id="961" w:name="_Toc298767393"/>
      <w:bookmarkStart w:id="962" w:name="_Toc298771419"/>
      <w:bookmarkStart w:id="963" w:name="_Toc298853338"/>
      <w:bookmarkStart w:id="964" w:name="_Toc299548070"/>
      <w:bookmarkStart w:id="965" w:name="_Toc299548210"/>
      <w:bookmarkStart w:id="966" w:name="_Toc299548351"/>
      <w:bookmarkStart w:id="967" w:name="_Toc299549128"/>
      <w:bookmarkStart w:id="968" w:name="_Toc299549322"/>
      <w:bookmarkStart w:id="969" w:name="_Toc299549518"/>
      <w:bookmarkStart w:id="970" w:name="_Toc294252506"/>
      <w:bookmarkStart w:id="971" w:name="_Toc294272201"/>
      <w:bookmarkStart w:id="972" w:name="_Toc294772944"/>
      <w:bookmarkStart w:id="973" w:name="_Toc294774741"/>
      <w:bookmarkStart w:id="974" w:name="_Toc294776342"/>
      <w:bookmarkStart w:id="975" w:name="_Toc294777004"/>
      <w:bookmarkStart w:id="976" w:name="_Toc294777137"/>
      <w:bookmarkStart w:id="977" w:name="_Toc294777269"/>
      <w:bookmarkStart w:id="978" w:name="_Toc294777400"/>
      <w:bookmarkStart w:id="979" w:name="_Toc294777531"/>
      <w:bookmarkStart w:id="980" w:name="_Toc294777661"/>
      <w:bookmarkStart w:id="981" w:name="_Toc294779076"/>
      <w:bookmarkStart w:id="982" w:name="_Toc294779935"/>
      <w:bookmarkStart w:id="983" w:name="_Toc294785563"/>
      <w:bookmarkStart w:id="984" w:name="_Toc294791500"/>
      <w:bookmarkStart w:id="985" w:name="_Toc294793934"/>
      <w:bookmarkStart w:id="986" w:name="_Toc294794319"/>
      <w:bookmarkStart w:id="987" w:name="_Toc294794469"/>
      <w:bookmarkStart w:id="988" w:name="_Toc294794615"/>
      <w:bookmarkStart w:id="989" w:name="_Toc294794760"/>
      <w:bookmarkStart w:id="990" w:name="_Toc294794904"/>
      <w:bookmarkStart w:id="991" w:name="_Toc294795043"/>
      <w:bookmarkStart w:id="992" w:name="_Toc294795182"/>
      <w:bookmarkStart w:id="993" w:name="_Toc294795319"/>
      <w:bookmarkStart w:id="994" w:name="_Toc294795455"/>
      <w:bookmarkStart w:id="995" w:name="_Toc294797637"/>
      <w:bookmarkStart w:id="996" w:name="_Toc294858464"/>
      <w:bookmarkStart w:id="997" w:name="_Toc298767394"/>
      <w:bookmarkStart w:id="998" w:name="_Toc298771420"/>
      <w:bookmarkStart w:id="999" w:name="_Toc298853339"/>
      <w:bookmarkStart w:id="1000" w:name="_Toc299548071"/>
      <w:bookmarkStart w:id="1001" w:name="_Toc299548211"/>
      <w:bookmarkStart w:id="1002" w:name="_Toc299548352"/>
      <w:bookmarkStart w:id="1003" w:name="_Toc299549129"/>
      <w:bookmarkStart w:id="1004" w:name="_Toc299549323"/>
      <w:bookmarkStart w:id="1005" w:name="_Toc299549519"/>
      <w:bookmarkStart w:id="1006" w:name="_Toc294252507"/>
      <w:bookmarkStart w:id="1007" w:name="_Toc294272202"/>
      <w:bookmarkStart w:id="1008" w:name="_Toc294772945"/>
      <w:bookmarkStart w:id="1009" w:name="_Toc294774742"/>
      <w:bookmarkStart w:id="1010" w:name="_Toc294776343"/>
      <w:bookmarkStart w:id="1011" w:name="_Toc294777005"/>
      <w:bookmarkStart w:id="1012" w:name="_Toc294777138"/>
      <w:bookmarkStart w:id="1013" w:name="_Toc294777270"/>
      <w:bookmarkStart w:id="1014" w:name="_Toc294777401"/>
      <w:bookmarkStart w:id="1015" w:name="_Toc294777532"/>
      <w:bookmarkStart w:id="1016" w:name="_Toc294777662"/>
      <w:bookmarkStart w:id="1017" w:name="_Toc294779077"/>
      <w:bookmarkStart w:id="1018" w:name="_Toc294779936"/>
      <w:bookmarkStart w:id="1019" w:name="_Toc294785564"/>
      <w:bookmarkStart w:id="1020" w:name="_Toc294791501"/>
      <w:bookmarkStart w:id="1021" w:name="_Toc294793935"/>
      <w:bookmarkStart w:id="1022" w:name="_Toc294794320"/>
      <w:bookmarkStart w:id="1023" w:name="_Toc294794470"/>
      <w:bookmarkStart w:id="1024" w:name="_Toc294794616"/>
      <w:bookmarkStart w:id="1025" w:name="_Toc294794761"/>
      <w:bookmarkStart w:id="1026" w:name="_Toc294794905"/>
      <w:bookmarkStart w:id="1027" w:name="_Toc294795044"/>
      <w:bookmarkStart w:id="1028" w:name="_Toc294795183"/>
      <w:bookmarkStart w:id="1029" w:name="_Toc294795320"/>
      <w:bookmarkStart w:id="1030" w:name="_Toc294795456"/>
      <w:bookmarkStart w:id="1031" w:name="_Toc294797638"/>
      <w:bookmarkStart w:id="1032" w:name="_Toc294858465"/>
      <w:bookmarkStart w:id="1033" w:name="_Toc298767395"/>
      <w:bookmarkStart w:id="1034" w:name="_Toc298771421"/>
      <w:bookmarkStart w:id="1035" w:name="_Toc298853340"/>
      <w:bookmarkStart w:id="1036" w:name="_Toc299548072"/>
      <w:bookmarkStart w:id="1037" w:name="_Toc299548212"/>
      <w:bookmarkStart w:id="1038" w:name="_Toc299548353"/>
      <w:bookmarkStart w:id="1039" w:name="_Toc299549130"/>
      <w:bookmarkStart w:id="1040" w:name="_Toc299549324"/>
      <w:bookmarkStart w:id="1041" w:name="_Toc299549520"/>
      <w:bookmarkStart w:id="1042" w:name="_Toc214091181"/>
      <w:bookmarkStart w:id="1043" w:name="_Toc214176729"/>
      <w:bookmarkStart w:id="1044" w:name="_Toc214683213"/>
      <w:bookmarkStart w:id="1045" w:name="_Toc214683386"/>
      <w:bookmarkStart w:id="1046" w:name="_Toc214693772"/>
      <w:bookmarkStart w:id="1047" w:name="_Toc214781835"/>
      <w:bookmarkStart w:id="1048" w:name="_Toc214782691"/>
      <w:bookmarkStart w:id="1049" w:name="_Toc215388546"/>
      <w:bookmarkStart w:id="1050" w:name="_Toc290978324"/>
      <w:bookmarkStart w:id="1051" w:name="_Toc290978424"/>
      <w:bookmarkStart w:id="1052" w:name="_Toc290978515"/>
      <w:bookmarkStart w:id="1053" w:name="_Toc290978606"/>
      <w:bookmarkStart w:id="1054" w:name="_Toc290978697"/>
      <w:bookmarkStart w:id="1055" w:name="_Toc290978788"/>
      <w:bookmarkStart w:id="1056" w:name="_Toc290989382"/>
      <w:bookmarkStart w:id="1057" w:name="_Toc290989560"/>
      <w:bookmarkStart w:id="1058" w:name="_Toc291143520"/>
      <w:bookmarkStart w:id="1059" w:name="_Toc291143611"/>
      <w:bookmarkStart w:id="1060" w:name="_Toc291143949"/>
      <w:bookmarkStart w:id="1061" w:name="_Toc291144318"/>
      <w:bookmarkStart w:id="1062" w:name="_Toc291144981"/>
      <w:bookmarkStart w:id="1063" w:name="_Toc294252509"/>
      <w:bookmarkStart w:id="1064" w:name="_Toc294272204"/>
      <w:bookmarkStart w:id="1065" w:name="_Toc294772947"/>
      <w:bookmarkStart w:id="1066" w:name="_Toc294774744"/>
      <w:bookmarkStart w:id="1067" w:name="_Toc294776345"/>
      <w:bookmarkStart w:id="1068" w:name="_Toc294777007"/>
      <w:bookmarkStart w:id="1069" w:name="_Toc294777140"/>
      <w:bookmarkStart w:id="1070" w:name="_Toc294777272"/>
      <w:bookmarkStart w:id="1071" w:name="_Toc294777403"/>
      <w:bookmarkStart w:id="1072" w:name="_Toc294777534"/>
      <w:bookmarkStart w:id="1073" w:name="_Toc294777664"/>
      <w:bookmarkStart w:id="1074" w:name="_Toc294779079"/>
      <w:bookmarkStart w:id="1075" w:name="_Toc294779938"/>
      <w:bookmarkStart w:id="1076" w:name="_Toc294785566"/>
      <w:bookmarkStart w:id="1077" w:name="_Toc294791503"/>
      <w:bookmarkStart w:id="1078" w:name="_Toc294793937"/>
      <w:bookmarkStart w:id="1079" w:name="_Toc294794322"/>
      <w:bookmarkStart w:id="1080" w:name="_Toc294794472"/>
      <w:bookmarkStart w:id="1081" w:name="_Toc294794618"/>
      <w:bookmarkStart w:id="1082" w:name="_Toc294794763"/>
      <w:bookmarkStart w:id="1083" w:name="_Toc294794907"/>
      <w:bookmarkStart w:id="1084" w:name="_Toc294795046"/>
      <w:bookmarkStart w:id="1085" w:name="_Toc294795185"/>
      <w:bookmarkStart w:id="1086" w:name="_Toc294795322"/>
      <w:bookmarkStart w:id="1087" w:name="_Toc294795458"/>
      <w:bookmarkStart w:id="1088" w:name="_Toc294797640"/>
      <w:bookmarkStart w:id="1089" w:name="_Toc294858467"/>
      <w:bookmarkStart w:id="1090" w:name="_Toc298767397"/>
      <w:bookmarkStart w:id="1091" w:name="_Toc298771423"/>
      <w:bookmarkStart w:id="1092" w:name="_Toc298853342"/>
      <w:bookmarkStart w:id="1093" w:name="_Toc299548074"/>
      <w:bookmarkStart w:id="1094" w:name="_Toc299548214"/>
      <w:bookmarkStart w:id="1095" w:name="_Toc299548355"/>
      <w:bookmarkStart w:id="1096" w:name="_Toc299549132"/>
      <w:bookmarkStart w:id="1097" w:name="_Toc299549326"/>
      <w:bookmarkStart w:id="1098" w:name="_Toc299549522"/>
      <w:bookmarkStart w:id="1099" w:name="_Toc299549523"/>
      <w:bookmarkStart w:id="1100" w:name="_Toc343002955"/>
      <w:bookmarkStart w:id="1101" w:name="_Toc352675359"/>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Pr>
          <w:rFonts w:ascii="Arial" w:hAnsi="Arial" w:cs="Arial"/>
          <w:sz w:val="22"/>
          <w:szCs w:val="22"/>
          <w:u w:val="none"/>
        </w:rPr>
        <w:t xml:space="preserve">  </w:t>
      </w:r>
      <w:r w:rsidR="004A1C88" w:rsidRPr="006F54CB">
        <w:rPr>
          <w:rFonts w:ascii="Arial" w:hAnsi="Arial" w:cs="Arial"/>
          <w:sz w:val="22"/>
          <w:szCs w:val="22"/>
          <w:u w:val="none"/>
        </w:rPr>
        <w:t>Overview of return</w:t>
      </w:r>
      <w:bookmarkEnd w:id="1099"/>
      <w:bookmarkEnd w:id="1100"/>
      <w:bookmarkEnd w:id="1101"/>
    </w:p>
    <w:p w14:paraId="76D964BF" w14:textId="77777777" w:rsidR="004A1C88" w:rsidRPr="00083540" w:rsidRDefault="00083540" w:rsidP="00083540">
      <w:pPr>
        <w:spacing w:after="240"/>
        <w:rPr>
          <w:rFonts w:ascii="Arial" w:hAnsi="Arial" w:cs="Arial"/>
        </w:rPr>
      </w:pPr>
      <w:r w:rsidRPr="00083540">
        <w:rPr>
          <w:rFonts w:ascii="Arial" w:hAnsi="Arial" w:cs="Arial"/>
        </w:rPr>
        <w:t>2.4.1</w:t>
      </w:r>
      <w:r w:rsidRPr="00083540">
        <w:rPr>
          <w:rFonts w:ascii="Arial" w:hAnsi="Arial" w:cs="Arial"/>
        </w:rPr>
        <w:tab/>
        <w:t>P</w:t>
      </w:r>
      <w:bookmarkStart w:id="1102" w:name="_Toc343006200"/>
      <w:bookmarkStart w:id="1103" w:name="_Toc343006487"/>
      <w:bookmarkStart w:id="1104" w:name="_Toc343007354"/>
      <w:bookmarkStart w:id="1105" w:name="_Toc343172147"/>
      <w:bookmarkStart w:id="1106" w:name="_Toc343172329"/>
      <w:bookmarkStart w:id="1107" w:name="_Toc343172499"/>
      <w:bookmarkStart w:id="1108" w:name="_Toc343178389"/>
      <w:bookmarkStart w:id="1109" w:name="_Toc343181399"/>
      <w:bookmarkStart w:id="1110" w:name="_Toc343181647"/>
      <w:bookmarkStart w:id="1111" w:name="_Toc343261689"/>
      <w:bookmarkStart w:id="1112" w:name="_Toc343261847"/>
      <w:bookmarkStart w:id="1113" w:name="_Toc343262005"/>
      <w:bookmarkStart w:id="1114" w:name="_Toc343262163"/>
      <w:bookmarkStart w:id="1115" w:name="_Toc343262318"/>
      <w:bookmarkStart w:id="1116" w:name="_Toc343262472"/>
      <w:bookmarkStart w:id="1117" w:name="_Toc343262615"/>
      <w:bookmarkStart w:id="1118" w:name="_Toc343262935"/>
      <w:bookmarkStart w:id="1119" w:name="_Toc343263653"/>
      <w:bookmarkStart w:id="1120" w:name="_Toc343263777"/>
      <w:bookmarkStart w:id="1121" w:name="_Toc343263900"/>
      <w:bookmarkStart w:id="1122" w:name="_Toc343264037"/>
      <w:bookmarkStart w:id="1123" w:name="_Toc343264328"/>
      <w:bookmarkStart w:id="1124" w:name="_Toc343266082"/>
      <w:bookmarkStart w:id="1125" w:name="_Toc343267221"/>
      <w:bookmarkStart w:id="1126" w:name="_Toc343610454"/>
      <w:bookmarkStart w:id="1127" w:name="_Toc346004432"/>
      <w:bookmarkStart w:id="1128" w:name="_Toc346092648"/>
      <w:bookmarkStart w:id="1129" w:name="_Toc346099738"/>
      <w:bookmarkStart w:id="1130" w:name="_Toc346099918"/>
      <w:bookmarkStart w:id="1131" w:name="_Toc346100042"/>
      <w:bookmarkStart w:id="1132" w:name="_Toc346100145"/>
      <w:bookmarkStart w:id="1133" w:name="_Toc346100248"/>
      <w:bookmarkStart w:id="1134" w:name="_Toc346118555"/>
      <w:bookmarkStart w:id="1135" w:name="_Toc346193831"/>
      <w:bookmarkStart w:id="1136" w:name="_Toc346269046"/>
      <w:bookmarkStart w:id="1137" w:name="_Toc346528037"/>
      <w:bookmarkStart w:id="1138" w:name="_Toc346541165"/>
      <w:bookmarkStart w:id="1139" w:name="_Toc346628675"/>
      <w:bookmarkStart w:id="1140" w:name="_Toc346635582"/>
      <w:bookmarkStart w:id="1141" w:name="_Toc346705508"/>
      <w:bookmarkStart w:id="1142" w:name="_Toc346801690"/>
      <w:bookmarkStart w:id="1143" w:name="_Toc346801817"/>
      <w:bookmarkStart w:id="1144" w:name="_Toc346801942"/>
      <w:bookmarkStart w:id="1145" w:name="_Toc346869407"/>
      <w:bookmarkStart w:id="1146" w:name="_Toc346886786"/>
      <w:bookmarkStart w:id="1147" w:name="_Toc346893451"/>
      <w:bookmarkStart w:id="1148" w:name="_Toc346896580"/>
      <w:bookmarkStart w:id="1149" w:name="_Toc347127747"/>
      <w:bookmarkStart w:id="1150" w:name="_Toc347131440"/>
      <w:bookmarkStart w:id="1151" w:name="_Toc347133530"/>
      <w:bookmarkStart w:id="1152" w:name="_Toc347135301"/>
      <w:bookmarkStart w:id="1153" w:name="_Toc347138599"/>
      <w:bookmarkStart w:id="1154" w:name="_Toc347152441"/>
      <w:bookmarkStart w:id="1155" w:name="_Toc347152574"/>
      <w:bookmarkStart w:id="1156" w:name="_Toc347152929"/>
      <w:bookmarkStart w:id="1157" w:name="_Toc347214374"/>
      <w:bookmarkStart w:id="1158" w:name="_Toc347303059"/>
      <w:bookmarkStart w:id="1159" w:name="_Toc347387077"/>
      <w:bookmarkStart w:id="1160" w:name="_Toc347477318"/>
      <w:bookmarkStart w:id="1161" w:name="_Toc347492914"/>
      <w:bookmarkStart w:id="1162" w:name="_Toc347494884"/>
      <w:bookmarkStart w:id="1163" w:name="_Toc347501103"/>
      <w:bookmarkStart w:id="1164" w:name="_Toc348103204"/>
      <w:bookmarkStart w:id="1165" w:name="_Toc348103320"/>
      <w:bookmarkStart w:id="1166" w:name="_Toc348428185"/>
      <w:bookmarkStart w:id="1167" w:name="_Toc348428280"/>
      <w:bookmarkStart w:id="1168" w:name="_Toc350154774"/>
      <w:bookmarkStart w:id="1169" w:name="_Toc351994484"/>
      <w:bookmarkStart w:id="1170" w:name="_Toc351994716"/>
      <w:bookmarkStart w:id="1171" w:name="_Toc351996030"/>
      <w:bookmarkStart w:id="1172" w:name="_Toc352142316"/>
      <w:bookmarkStart w:id="1173" w:name="_Toc352149655"/>
      <w:bookmarkStart w:id="1174" w:name="_Toc352664384"/>
      <w:bookmarkStart w:id="1175" w:name="_Toc352675273"/>
      <w:bookmarkStart w:id="1176" w:name="_Toc352675360"/>
      <w:bookmarkStart w:id="1177" w:name="_Toc343006201"/>
      <w:bookmarkStart w:id="1178" w:name="_Toc343006488"/>
      <w:bookmarkStart w:id="1179" w:name="_Toc343007355"/>
      <w:bookmarkStart w:id="1180" w:name="_Toc343172148"/>
      <w:bookmarkStart w:id="1181" w:name="_Toc343172330"/>
      <w:bookmarkStart w:id="1182" w:name="_Toc343172500"/>
      <w:bookmarkStart w:id="1183" w:name="_Toc343178390"/>
      <w:bookmarkStart w:id="1184" w:name="_Toc343181400"/>
      <w:bookmarkStart w:id="1185" w:name="_Toc343181648"/>
      <w:bookmarkStart w:id="1186" w:name="_Toc343261690"/>
      <w:bookmarkStart w:id="1187" w:name="_Toc343261848"/>
      <w:bookmarkStart w:id="1188" w:name="_Toc343262006"/>
      <w:bookmarkStart w:id="1189" w:name="_Toc343262164"/>
      <w:bookmarkStart w:id="1190" w:name="_Toc343262319"/>
      <w:bookmarkStart w:id="1191" w:name="_Toc343262473"/>
      <w:bookmarkStart w:id="1192" w:name="_Toc343262616"/>
      <w:bookmarkStart w:id="1193" w:name="_Toc343262936"/>
      <w:bookmarkStart w:id="1194" w:name="_Toc343263654"/>
      <w:bookmarkStart w:id="1195" w:name="_Toc343263778"/>
      <w:bookmarkStart w:id="1196" w:name="_Toc343263901"/>
      <w:bookmarkStart w:id="1197" w:name="_Toc343264038"/>
      <w:bookmarkStart w:id="1198" w:name="_Toc343264329"/>
      <w:bookmarkStart w:id="1199" w:name="_Toc343266083"/>
      <w:bookmarkStart w:id="1200" w:name="_Toc343267222"/>
      <w:bookmarkStart w:id="1201" w:name="_Toc343610455"/>
      <w:bookmarkStart w:id="1202" w:name="_Toc346004433"/>
      <w:bookmarkStart w:id="1203" w:name="_Toc346092649"/>
      <w:bookmarkStart w:id="1204" w:name="_Toc346099739"/>
      <w:bookmarkStart w:id="1205" w:name="_Toc346099919"/>
      <w:bookmarkStart w:id="1206" w:name="_Toc346100043"/>
      <w:bookmarkStart w:id="1207" w:name="_Toc346100146"/>
      <w:bookmarkStart w:id="1208" w:name="_Toc346100249"/>
      <w:bookmarkStart w:id="1209" w:name="_Toc346118556"/>
      <w:bookmarkStart w:id="1210" w:name="_Toc346193832"/>
      <w:bookmarkStart w:id="1211" w:name="_Toc346269047"/>
      <w:bookmarkStart w:id="1212" w:name="_Toc346528038"/>
      <w:bookmarkStart w:id="1213" w:name="_Toc346541166"/>
      <w:bookmarkStart w:id="1214" w:name="_Toc346628676"/>
      <w:bookmarkStart w:id="1215" w:name="_Toc346635583"/>
      <w:bookmarkStart w:id="1216" w:name="_Toc346705509"/>
      <w:bookmarkStart w:id="1217" w:name="_Toc346801691"/>
      <w:bookmarkStart w:id="1218" w:name="_Toc346801818"/>
      <w:bookmarkStart w:id="1219" w:name="_Toc346801943"/>
      <w:bookmarkStart w:id="1220" w:name="_Toc346869408"/>
      <w:bookmarkStart w:id="1221" w:name="_Toc346886787"/>
      <w:bookmarkStart w:id="1222" w:name="_Toc346893452"/>
      <w:bookmarkStart w:id="1223" w:name="_Toc346896581"/>
      <w:bookmarkStart w:id="1224" w:name="_Toc347127748"/>
      <w:bookmarkStart w:id="1225" w:name="_Toc347131441"/>
      <w:bookmarkStart w:id="1226" w:name="_Toc347133531"/>
      <w:bookmarkStart w:id="1227" w:name="_Toc347135302"/>
      <w:bookmarkStart w:id="1228" w:name="_Toc347138600"/>
      <w:bookmarkStart w:id="1229" w:name="_Toc347152442"/>
      <w:bookmarkStart w:id="1230" w:name="_Toc347152575"/>
      <w:bookmarkStart w:id="1231" w:name="_Toc347152930"/>
      <w:bookmarkStart w:id="1232" w:name="_Toc347214375"/>
      <w:bookmarkStart w:id="1233" w:name="_Toc347303060"/>
      <w:bookmarkStart w:id="1234" w:name="_Toc347387078"/>
      <w:bookmarkStart w:id="1235" w:name="_Toc347477319"/>
      <w:bookmarkStart w:id="1236" w:name="_Toc347492915"/>
      <w:bookmarkStart w:id="1237" w:name="_Toc347494885"/>
      <w:bookmarkStart w:id="1238" w:name="_Toc347501104"/>
      <w:bookmarkStart w:id="1239" w:name="_Toc348103205"/>
      <w:bookmarkStart w:id="1240" w:name="_Toc348103321"/>
      <w:bookmarkStart w:id="1241" w:name="_Toc348428186"/>
      <w:bookmarkStart w:id="1242" w:name="_Toc348428281"/>
      <w:bookmarkStart w:id="1243" w:name="_Toc350154775"/>
      <w:bookmarkStart w:id="1244" w:name="_Toc351994485"/>
      <w:bookmarkStart w:id="1245" w:name="_Toc351994717"/>
      <w:bookmarkStart w:id="1246" w:name="_Toc351996031"/>
      <w:bookmarkStart w:id="1247" w:name="_Toc352142317"/>
      <w:bookmarkStart w:id="1248" w:name="_Toc352149656"/>
      <w:bookmarkStart w:id="1249" w:name="_Toc352664385"/>
      <w:bookmarkStart w:id="1250" w:name="_Toc352675274"/>
      <w:bookmarkStart w:id="1251" w:name="_Toc352675361"/>
      <w:bookmarkStart w:id="1252" w:name="_Toc343006202"/>
      <w:bookmarkStart w:id="1253" w:name="_Toc343006489"/>
      <w:bookmarkStart w:id="1254" w:name="_Toc343007356"/>
      <w:bookmarkStart w:id="1255" w:name="_Toc343172149"/>
      <w:bookmarkStart w:id="1256" w:name="_Toc343172331"/>
      <w:bookmarkStart w:id="1257" w:name="_Toc343172501"/>
      <w:bookmarkStart w:id="1258" w:name="_Toc343178391"/>
      <w:bookmarkStart w:id="1259" w:name="_Toc343181401"/>
      <w:bookmarkStart w:id="1260" w:name="_Toc343181649"/>
      <w:bookmarkStart w:id="1261" w:name="_Toc343261691"/>
      <w:bookmarkStart w:id="1262" w:name="_Toc343261849"/>
      <w:bookmarkStart w:id="1263" w:name="_Toc343262007"/>
      <w:bookmarkStart w:id="1264" w:name="_Toc343262165"/>
      <w:bookmarkStart w:id="1265" w:name="_Toc343262320"/>
      <w:bookmarkStart w:id="1266" w:name="_Toc343262474"/>
      <w:bookmarkStart w:id="1267" w:name="_Toc343262617"/>
      <w:bookmarkStart w:id="1268" w:name="_Toc343262937"/>
      <w:bookmarkStart w:id="1269" w:name="_Toc343263655"/>
      <w:bookmarkStart w:id="1270" w:name="_Toc343263779"/>
      <w:bookmarkStart w:id="1271" w:name="_Toc343263902"/>
      <w:bookmarkStart w:id="1272" w:name="_Toc343264039"/>
      <w:bookmarkStart w:id="1273" w:name="_Toc343264330"/>
      <w:bookmarkStart w:id="1274" w:name="_Toc343266084"/>
      <w:bookmarkStart w:id="1275" w:name="_Toc343267223"/>
      <w:bookmarkStart w:id="1276" w:name="_Toc343610456"/>
      <w:bookmarkStart w:id="1277" w:name="_Toc346004434"/>
      <w:bookmarkStart w:id="1278" w:name="_Toc346092650"/>
      <w:bookmarkStart w:id="1279" w:name="_Toc346099740"/>
      <w:bookmarkStart w:id="1280" w:name="_Toc346099920"/>
      <w:bookmarkStart w:id="1281" w:name="_Toc346100044"/>
      <w:bookmarkStart w:id="1282" w:name="_Toc346100147"/>
      <w:bookmarkStart w:id="1283" w:name="_Toc346100250"/>
      <w:bookmarkStart w:id="1284" w:name="_Toc346118557"/>
      <w:bookmarkStart w:id="1285" w:name="_Toc346193833"/>
      <w:bookmarkStart w:id="1286" w:name="_Toc346269048"/>
      <w:bookmarkStart w:id="1287" w:name="_Toc346528039"/>
      <w:bookmarkStart w:id="1288" w:name="_Toc346541167"/>
      <w:bookmarkStart w:id="1289" w:name="_Toc346628677"/>
      <w:bookmarkStart w:id="1290" w:name="_Toc346635584"/>
      <w:bookmarkStart w:id="1291" w:name="_Toc346705510"/>
      <w:bookmarkStart w:id="1292" w:name="_Toc346801692"/>
      <w:bookmarkStart w:id="1293" w:name="_Toc346801819"/>
      <w:bookmarkStart w:id="1294" w:name="_Toc346801944"/>
      <w:bookmarkStart w:id="1295" w:name="_Toc346869409"/>
      <w:bookmarkStart w:id="1296" w:name="_Toc346886788"/>
      <w:bookmarkStart w:id="1297" w:name="_Toc346893453"/>
      <w:bookmarkStart w:id="1298" w:name="_Toc346896582"/>
      <w:bookmarkStart w:id="1299" w:name="_Toc347127749"/>
      <w:bookmarkStart w:id="1300" w:name="_Toc347131442"/>
      <w:bookmarkStart w:id="1301" w:name="_Toc347133532"/>
      <w:bookmarkStart w:id="1302" w:name="_Toc347135303"/>
      <w:bookmarkStart w:id="1303" w:name="_Toc347138601"/>
      <w:bookmarkStart w:id="1304" w:name="_Toc347152443"/>
      <w:bookmarkStart w:id="1305" w:name="_Toc347152576"/>
      <w:bookmarkStart w:id="1306" w:name="_Toc347152931"/>
      <w:bookmarkStart w:id="1307" w:name="_Toc347214376"/>
      <w:bookmarkStart w:id="1308" w:name="_Toc347303061"/>
      <w:bookmarkStart w:id="1309" w:name="_Toc347387079"/>
      <w:bookmarkStart w:id="1310" w:name="_Toc347477320"/>
      <w:bookmarkStart w:id="1311" w:name="_Toc347492916"/>
      <w:bookmarkStart w:id="1312" w:name="_Toc347494886"/>
      <w:bookmarkStart w:id="1313" w:name="_Toc347501105"/>
      <w:bookmarkStart w:id="1314" w:name="_Toc348103206"/>
      <w:bookmarkStart w:id="1315" w:name="_Toc348103322"/>
      <w:bookmarkStart w:id="1316" w:name="_Toc348428187"/>
      <w:bookmarkStart w:id="1317" w:name="_Toc348428282"/>
      <w:bookmarkStart w:id="1318" w:name="_Toc350154776"/>
      <w:bookmarkStart w:id="1319" w:name="_Toc351994486"/>
      <w:bookmarkStart w:id="1320" w:name="_Toc351994718"/>
      <w:bookmarkStart w:id="1321" w:name="_Toc351996032"/>
      <w:bookmarkStart w:id="1322" w:name="_Toc352142318"/>
      <w:bookmarkStart w:id="1323" w:name="_Toc352149657"/>
      <w:bookmarkStart w:id="1324" w:name="_Toc352664386"/>
      <w:bookmarkStart w:id="1325" w:name="_Toc352675275"/>
      <w:bookmarkStart w:id="1326" w:name="_Toc352675362"/>
      <w:bookmarkStart w:id="1327" w:name="_Toc343006203"/>
      <w:bookmarkStart w:id="1328" w:name="_Toc343006490"/>
      <w:bookmarkStart w:id="1329" w:name="_Toc343007357"/>
      <w:bookmarkStart w:id="1330" w:name="_Toc343172150"/>
      <w:bookmarkStart w:id="1331" w:name="_Toc343172332"/>
      <w:bookmarkStart w:id="1332" w:name="_Toc343172502"/>
      <w:bookmarkStart w:id="1333" w:name="_Toc343178392"/>
      <w:bookmarkStart w:id="1334" w:name="_Toc343181402"/>
      <w:bookmarkStart w:id="1335" w:name="_Toc343181650"/>
      <w:bookmarkStart w:id="1336" w:name="_Toc343261692"/>
      <w:bookmarkStart w:id="1337" w:name="_Toc343261850"/>
      <w:bookmarkStart w:id="1338" w:name="_Toc343262008"/>
      <w:bookmarkStart w:id="1339" w:name="_Toc343262166"/>
      <w:bookmarkStart w:id="1340" w:name="_Toc343262321"/>
      <w:bookmarkStart w:id="1341" w:name="_Toc343262475"/>
      <w:bookmarkStart w:id="1342" w:name="_Toc343262618"/>
      <w:bookmarkStart w:id="1343" w:name="_Toc343262938"/>
      <w:bookmarkStart w:id="1344" w:name="_Toc343263656"/>
      <w:bookmarkStart w:id="1345" w:name="_Toc343263780"/>
      <w:bookmarkStart w:id="1346" w:name="_Toc343263903"/>
      <w:bookmarkStart w:id="1347" w:name="_Toc343264040"/>
      <w:bookmarkStart w:id="1348" w:name="_Toc343264331"/>
      <w:bookmarkStart w:id="1349" w:name="_Toc343266085"/>
      <w:bookmarkStart w:id="1350" w:name="_Toc343267224"/>
      <w:bookmarkStart w:id="1351" w:name="_Toc343610457"/>
      <w:bookmarkStart w:id="1352" w:name="_Toc346004435"/>
      <w:bookmarkStart w:id="1353" w:name="_Toc346092651"/>
      <w:bookmarkStart w:id="1354" w:name="_Toc346099741"/>
      <w:bookmarkStart w:id="1355" w:name="_Toc346099921"/>
      <w:bookmarkStart w:id="1356" w:name="_Toc346100045"/>
      <w:bookmarkStart w:id="1357" w:name="_Toc346100148"/>
      <w:bookmarkStart w:id="1358" w:name="_Toc346100251"/>
      <w:bookmarkStart w:id="1359" w:name="_Toc346118558"/>
      <w:bookmarkStart w:id="1360" w:name="_Toc346193834"/>
      <w:bookmarkStart w:id="1361" w:name="_Toc346269049"/>
      <w:bookmarkStart w:id="1362" w:name="_Toc346528040"/>
      <w:bookmarkStart w:id="1363" w:name="_Toc346541168"/>
      <w:bookmarkStart w:id="1364" w:name="_Toc346628678"/>
      <w:bookmarkStart w:id="1365" w:name="_Toc346635585"/>
      <w:bookmarkStart w:id="1366" w:name="_Toc346705511"/>
      <w:bookmarkStart w:id="1367" w:name="_Toc346801693"/>
      <w:bookmarkStart w:id="1368" w:name="_Toc346801820"/>
      <w:bookmarkStart w:id="1369" w:name="_Toc346801945"/>
      <w:bookmarkStart w:id="1370" w:name="_Toc346869410"/>
      <w:bookmarkStart w:id="1371" w:name="_Toc346886789"/>
      <w:bookmarkStart w:id="1372" w:name="_Toc346893454"/>
      <w:bookmarkStart w:id="1373" w:name="_Toc346896583"/>
      <w:bookmarkStart w:id="1374" w:name="_Toc347127750"/>
      <w:bookmarkStart w:id="1375" w:name="_Toc347131443"/>
      <w:bookmarkStart w:id="1376" w:name="_Toc347133533"/>
      <w:bookmarkStart w:id="1377" w:name="_Toc347135304"/>
      <w:bookmarkStart w:id="1378" w:name="_Toc347138602"/>
      <w:bookmarkStart w:id="1379" w:name="_Toc347152444"/>
      <w:bookmarkStart w:id="1380" w:name="_Toc347152577"/>
      <w:bookmarkStart w:id="1381" w:name="_Toc347152932"/>
      <w:bookmarkStart w:id="1382" w:name="_Toc347214377"/>
      <w:bookmarkStart w:id="1383" w:name="_Toc347303062"/>
      <w:bookmarkStart w:id="1384" w:name="_Toc347387080"/>
      <w:bookmarkStart w:id="1385" w:name="_Toc347477321"/>
      <w:bookmarkStart w:id="1386" w:name="_Toc347492917"/>
      <w:bookmarkStart w:id="1387" w:name="_Toc347494887"/>
      <w:bookmarkStart w:id="1388" w:name="_Toc347501106"/>
      <w:bookmarkStart w:id="1389" w:name="_Toc348103207"/>
      <w:bookmarkStart w:id="1390" w:name="_Toc348103323"/>
      <w:bookmarkStart w:id="1391" w:name="_Toc348428188"/>
      <w:bookmarkStart w:id="1392" w:name="_Toc348428283"/>
      <w:bookmarkStart w:id="1393" w:name="_Toc350154777"/>
      <w:bookmarkStart w:id="1394" w:name="_Toc351994487"/>
      <w:bookmarkStart w:id="1395" w:name="_Toc351994719"/>
      <w:bookmarkStart w:id="1396" w:name="_Toc351996033"/>
      <w:bookmarkStart w:id="1397" w:name="_Toc352142319"/>
      <w:bookmarkStart w:id="1398" w:name="_Toc352149658"/>
      <w:bookmarkStart w:id="1399" w:name="_Toc352664387"/>
      <w:bookmarkStart w:id="1400" w:name="_Toc352675276"/>
      <w:bookmarkStart w:id="1401" w:name="_Toc352675363"/>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004A1C88" w:rsidRPr="00083540">
        <w:rPr>
          <w:rFonts w:ascii="Arial" w:hAnsi="Arial" w:cs="Arial"/>
        </w:rPr>
        <w:t>arallel corporate syndicates must complete and submit separate Pillar 3 returns.</w:t>
      </w:r>
    </w:p>
    <w:p w14:paraId="0CFADF83" w14:textId="77777777" w:rsidR="004A1C88" w:rsidRPr="00083540" w:rsidRDefault="00083540" w:rsidP="00083540">
      <w:pPr>
        <w:spacing w:after="240"/>
        <w:ind w:left="720" w:hanging="720"/>
        <w:rPr>
          <w:rFonts w:ascii="Arial" w:hAnsi="Arial" w:cs="Arial"/>
        </w:rPr>
      </w:pPr>
      <w:r w:rsidRPr="00083540">
        <w:rPr>
          <w:rFonts w:ascii="Arial" w:hAnsi="Arial" w:cs="Arial"/>
        </w:rPr>
        <w:t>2.4.2</w:t>
      </w:r>
      <w:r w:rsidRPr="00083540">
        <w:rPr>
          <w:rFonts w:ascii="Arial" w:hAnsi="Arial" w:cs="Arial"/>
        </w:rPr>
        <w:tab/>
        <w:t>T</w:t>
      </w:r>
      <w:r w:rsidR="004A1C88" w:rsidRPr="00083540">
        <w:rPr>
          <w:rFonts w:ascii="Arial" w:hAnsi="Arial" w:cs="Arial"/>
        </w:rPr>
        <w:t>he return must be completed in respect of all open years of account and all run-off years of account, in order to reflect the total insurance business transacted by underwriting members of Lloyd’s.</w:t>
      </w:r>
    </w:p>
    <w:p w14:paraId="0F5D5C44" w14:textId="77777777" w:rsidR="004A1C88" w:rsidRPr="00083540" w:rsidRDefault="00083540" w:rsidP="00083540">
      <w:pPr>
        <w:spacing w:after="240"/>
        <w:ind w:left="720" w:hanging="720"/>
        <w:rPr>
          <w:rFonts w:ascii="Arial" w:hAnsi="Arial" w:cs="Arial"/>
        </w:rPr>
      </w:pPr>
      <w:r w:rsidRPr="00083540">
        <w:rPr>
          <w:rFonts w:ascii="Arial" w:hAnsi="Arial" w:cs="Arial"/>
        </w:rPr>
        <w:lastRenderedPageBreak/>
        <w:t>2.4.3</w:t>
      </w:r>
      <w:r w:rsidRPr="00083540">
        <w:rPr>
          <w:rFonts w:ascii="Arial" w:hAnsi="Arial" w:cs="Arial"/>
        </w:rPr>
        <w:tab/>
        <w:t>W</w:t>
      </w:r>
      <w:r w:rsidR="004A1C88" w:rsidRPr="00083540">
        <w:rPr>
          <w:rFonts w:ascii="Arial" w:hAnsi="Arial" w:cs="Arial"/>
        </w:rPr>
        <w:t>hen setting up a return, the system will generate the forms to be completed, and establish the validation rules to be adhered to, as appropriate to that syndicate’s circumstances.</w:t>
      </w:r>
    </w:p>
    <w:p w14:paraId="0BA94E9C"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402" w:name="_Toc343007358"/>
      <w:bookmarkStart w:id="1403" w:name="_Toc343172151"/>
      <w:bookmarkStart w:id="1404" w:name="_Toc343172333"/>
      <w:bookmarkStart w:id="1405" w:name="_Toc343172503"/>
      <w:bookmarkStart w:id="1406" w:name="_Toc343178393"/>
      <w:bookmarkStart w:id="1407" w:name="_Toc343181403"/>
      <w:bookmarkStart w:id="1408" w:name="_Toc343181651"/>
      <w:bookmarkStart w:id="1409" w:name="_Toc343261693"/>
      <w:bookmarkStart w:id="1410" w:name="_Toc343261851"/>
      <w:bookmarkStart w:id="1411" w:name="_Toc343262009"/>
      <w:bookmarkStart w:id="1412" w:name="_Toc343262167"/>
      <w:bookmarkStart w:id="1413" w:name="_Toc343262322"/>
      <w:bookmarkStart w:id="1414" w:name="_Toc343262476"/>
      <w:bookmarkStart w:id="1415" w:name="_Toc343262619"/>
      <w:bookmarkStart w:id="1416" w:name="_Toc343262939"/>
      <w:bookmarkStart w:id="1417" w:name="_Toc343263657"/>
      <w:bookmarkStart w:id="1418" w:name="_Toc343263781"/>
      <w:bookmarkStart w:id="1419" w:name="_Toc343263904"/>
      <w:bookmarkStart w:id="1420" w:name="_Toc343264041"/>
      <w:bookmarkStart w:id="1421" w:name="_Toc343264332"/>
      <w:bookmarkStart w:id="1422" w:name="_Toc343266086"/>
      <w:bookmarkStart w:id="1423" w:name="_Toc343267225"/>
      <w:bookmarkStart w:id="1424" w:name="_Toc343007359"/>
      <w:bookmarkStart w:id="1425" w:name="_Toc343172152"/>
      <w:bookmarkStart w:id="1426" w:name="_Toc343172334"/>
      <w:bookmarkStart w:id="1427" w:name="_Toc343172504"/>
      <w:bookmarkStart w:id="1428" w:name="_Toc343178394"/>
      <w:bookmarkStart w:id="1429" w:name="_Toc343181404"/>
      <w:bookmarkStart w:id="1430" w:name="_Toc343181652"/>
      <w:bookmarkStart w:id="1431" w:name="_Toc343261694"/>
      <w:bookmarkStart w:id="1432" w:name="_Toc343261852"/>
      <w:bookmarkStart w:id="1433" w:name="_Toc343262010"/>
      <w:bookmarkStart w:id="1434" w:name="_Toc343262168"/>
      <w:bookmarkStart w:id="1435" w:name="_Toc343262323"/>
      <w:bookmarkStart w:id="1436" w:name="_Toc343262477"/>
      <w:bookmarkStart w:id="1437" w:name="_Toc343262620"/>
      <w:bookmarkStart w:id="1438" w:name="_Toc343262940"/>
      <w:bookmarkStart w:id="1439" w:name="_Toc343263658"/>
      <w:bookmarkStart w:id="1440" w:name="_Toc343263782"/>
      <w:bookmarkStart w:id="1441" w:name="_Toc343263905"/>
      <w:bookmarkStart w:id="1442" w:name="_Toc343264042"/>
      <w:bookmarkStart w:id="1443" w:name="_Toc343264333"/>
      <w:bookmarkStart w:id="1444" w:name="_Toc343266087"/>
      <w:bookmarkStart w:id="1445" w:name="_Toc343267226"/>
      <w:bookmarkStart w:id="1446" w:name="_Toc343006205"/>
      <w:bookmarkStart w:id="1447" w:name="_Toc343006491"/>
      <w:bookmarkStart w:id="1448" w:name="_Toc343006210"/>
      <w:bookmarkStart w:id="1449" w:name="_Toc343006496"/>
      <w:bookmarkStart w:id="1450" w:name="_Toc343006211"/>
      <w:bookmarkStart w:id="1451" w:name="_Toc343006497"/>
      <w:bookmarkStart w:id="1452" w:name="_Toc343007362"/>
      <w:bookmarkStart w:id="1453" w:name="_Toc343172155"/>
      <w:bookmarkStart w:id="1454" w:name="_Toc343172337"/>
      <w:bookmarkStart w:id="1455" w:name="_Toc343172507"/>
      <w:bookmarkStart w:id="1456" w:name="_Toc343178397"/>
      <w:bookmarkStart w:id="1457" w:name="_Toc343181407"/>
      <w:bookmarkStart w:id="1458" w:name="_Toc343181655"/>
      <w:bookmarkStart w:id="1459" w:name="_Toc343261697"/>
      <w:bookmarkStart w:id="1460" w:name="_Toc343261855"/>
      <w:bookmarkStart w:id="1461" w:name="_Toc343262013"/>
      <w:bookmarkStart w:id="1462" w:name="_Toc343262171"/>
      <w:bookmarkStart w:id="1463" w:name="_Toc343262326"/>
      <w:bookmarkStart w:id="1464" w:name="_Toc343262480"/>
      <w:bookmarkStart w:id="1465" w:name="_Toc343262623"/>
      <w:bookmarkStart w:id="1466" w:name="_Toc343262943"/>
      <w:bookmarkStart w:id="1467" w:name="_Toc343263661"/>
      <w:bookmarkStart w:id="1468" w:name="_Toc343263785"/>
      <w:bookmarkStart w:id="1469" w:name="_Toc343263908"/>
      <w:bookmarkStart w:id="1470" w:name="_Toc343264045"/>
      <w:bookmarkStart w:id="1471" w:name="_Toc343264336"/>
      <w:bookmarkStart w:id="1472" w:name="_Toc343266090"/>
      <w:bookmarkStart w:id="1473" w:name="_Toc343267229"/>
      <w:bookmarkStart w:id="1474" w:name="_Toc299549524"/>
      <w:bookmarkStart w:id="1475" w:name="_Toc343002960"/>
      <w:bookmarkStart w:id="1476" w:name="_Toc352675364"/>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474"/>
      <w:bookmarkEnd w:id="1475"/>
      <w:bookmarkEnd w:id="1476"/>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77777777"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0503DFBC"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1A03720">
        <w:rPr>
          <w:rFonts w:ascii="Arial" w:hAnsi="Arial" w:cs="Arial"/>
        </w:rPr>
        <w:t xml:space="preserve"> is the ‘traditional’ Lloyd’s method of identifying years of account and means each open year of account upon which members had a participation at the period end.  For returns in </w:t>
      </w:r>
      <w:r w:rsidR="00FF6F89" w:rsidRPr="01A03720">
        <w:rPr>
          <w:rFonts w:ascii="Arial" w:hAnsi="Arial" w:cs="Arial"/>
        </w:rPr>
        <w:t>202</w:t>
      </w:r>
      <w:r w:rsidR="00BE251A" w:rsidRPr="01A03720">
        <w:rPr>
          <w:rFonts w:ascii="Arial" w:hAnsi="Arial" w:cs="Arial"/>
        </w:rPr>
        <w:t>5</w:t>
      </w:r>
      <w:r w:rsidR="00FF6F89" w:rsidRPr="01A03720">
        <w:rPr>
          <w:rFonts w:ascii="Arial" w:hAnsi="Arial" w:cs="Arial"/>
        </w:rPr>
        <w:t xml:space="preserve"> </w:t>
      </w:r>
      <w:r w:rsidRPr="01A03720">
        <w:rPr>
          <w:rFonts w:ascii="Arial" w:hAnsi="Arial" w:cs="Arial"/>
        </w:rPr>
        <w:t xml:space="preserve">this will be the </w:t>
      </w:r>
      <w:r w:rsidR="005654EA" w:rsidRPr="01A03720">
        <w:rPr>
          <w:rFonts w:ascii="Arial" w:hAnsi="Arial" w:cs="Arial"/>
        </w:rPr>
        <w:t>20</w:t>
      </w:r>
      <w:r w:rsidR="003437B7" w:rsidRPr="01A03720">
        <w:rPr>
          <w:rFonts w:ascii="Arial" w:hAnsi="Arial" w:cs="Arial"/>
        </w:rPr>
        <w:t>2</w:t>
      </w:r>
      <w:r w:rsidR="00BE251A" w:rsidRPr="01A03720">
        <w:rPr>
          <w:rFonts w:ascii="Arial" w:hAnsi="Arial" w:cs="Arial"/>
        </w:rPr>
        <w:t>3</w:t>
      </w:r>
      <w:r w:rsidR="000F5886" w:rsidRPr="01A03720">
        <w:rPr>
          <w:rFonts w:ascii="Arial" w:hAnsi="Arial" w:cs="Arial"/>
        </w:rPr>
        <w:t xml:space="preserve">, </w:t>
      </w:r>
      <w:r w:rsidR="005654EA" w:rsidRPr="01A03720">
        <w:rPr>
          <w:rFonts w:ascii="Arial" w:hAnsi="Arial" w:cs="Arial"/>
        </w:rPr>
        <w:t>20</w:t>
      </w:r>
      <w:r w:rsidR="001C3954" w:rsidRPr="01A03720">
        <w:rPr>
          <w:rFonts w:ascii="Arial" w:hAnsi="Arial" w:cs="Arial"/>
        </w:rPr>
        <w:t>2</w:t>
      </w:r>
      <w:r w:rsidR="00BE251A" w:rsidRPr="01A03720">
        <w:rPr>
          <w:rFonts w:ascii="Arial" w:hAnsi="Arial" w:cs="Arial"/>
        </w:rPr>
        <w:t>4</w:t>
      </w:r>
      <w:r w:rsidR="000F5886" w:rsidRPr="01A03720">
        <w:rPr>
          <w:rFonts w:ascii="Arial" w:hAnsi="Arial" w:cs="Arial"/>
        </w:rPr>
        <w:t xml:space="preserve"> or </w:t>
      </w:r>
      <w:r w:rsidR="005654EA" w:rsidRPr="01A03720">
        <w:rPr>
          <w:rFonts w:ascii="Arial" w:hAnsi="Arial" w:cs="Arial"/>
        </w:rPr>
        <w:t>20</w:t>
      </w:r>
      <w:r w:rsidR="00473FB6" w:rsidRPr="01A03720">
        <w:rPr>
          <w:rFonts w:ascii="Arial" w:hAnsi="Arial" w:cs="Arial"/>
        </w:rPr>
        <w:t>2</w:t>
      </w:r>
      <w:r w:rsidR="00BE251A" w:rsidRPr="01A03720">
        <w:rPr>
          <w:rFonts w:ascii="Arial" w:hAnsi="Arial" w:cs="Arial"/>
        </w:rPr>
        <w:t>5</w:t>
      </w:r>
      <w:r w:rsidRPr="01A03720">
        <w:rPr>
          <w:rFonts w:ascii="Arial" w:hAnsi="Arial" w:cs="Arial"/>
        </w:rPr>
        <w:t xml:space="preserve"> years of account and </w:t>
      </w:r>
      <w:r w:rsidR="005654EA" w:rsidRPr="01A03720">
        <w:rPr>
          <w:rFonts w:ascii="Arial" w:hAnsi="Arial" w:cs="Arial"/>
        </w:rPr>
        <w:t xml:space="preserve">any </w:t>
      </w:r>
      <w:r w:rsidR="00E63490" w:rsidRPr="01A03720">
        <w:rPr>
          <w:rFonts w:ascii="Arial" w:hAnsi="Arial" w:cs="Arial"/>
        </w:rPr>
        <w:t>202</w:t>
      </w:r>
      <w:r w:rsidR="00BE251A" w:rsidRPr="01A03720">
        <w:rPr>
          <w:rFonts w:ascii="Arial" w:hAnsi="Arial" w:cs="Arial"/>
        </w:rPr>
        <w:t>2</w:t>
      </w:r>
      <w:r w:rsidR="00E63490" w:rsidRPr="01A03720">
        <w:rPr>
          <w:rFonts w:ascii="Arial" w:hAnsi="Arial" w:cs="Arial"/>
        </w:rPr>
        <w:t xml:space="preserve"> </w:t>
      </w:r>
      <w:r w:rsidR="005654EA" w:rsidRPr="01A03720">
        <w:rPr>
          <w:rFonts w:ascii="Arial" w:hAnsi="Arial" w:cs="Arial"/>
        </w:rPr>
        <w:t>or</w:t>
      </w:r>
      <w:r w:rsidRPr="01A03720">
        <w:rPr>
          <w:rFonts w:ascii="Arial" w:hAnsi="Arial" w:cs="Arial"/>
        </w:rPr>
        <w:t xml:space="preserve"> prior run-off year of account which had not been reinsured to close as at 31 December </w:t>
      </w:r>
      <w:r w:rsidR="005654EA" w:rsidRPr="01A03720">
        <w:rPr>
          <w:rFonts w:ascii="Arial" w:hAnsi="Arial" w:cs="Arial"/>
        </w:rPr>
        <w:t>20</w:t>
      </w:r>
      <w:r w:rsidR="001C3954" w:rsidRPr="01A03720">
        <w:rPr>
          <w:rFonts w:ascii="Arial" w:hAnsi="Arial" w:cs="Arial"/>
        </w:rPr>
        <w:t>2</w:t>
      </w:r>
      <w:r w:rsidR="52FDB0A6" w:rsidRPr="01A03720">
        <w:rPr>
          <w:rFonts w:ascii="Arial" w:hAnsi="Arial" w:cs="Arial"/>
        </w:rPr>
        <w:t>4</w:t>
      </w:r>
      <w:r w:rsidRPr="01A03720">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sidRPr="01A03720">
        <w:rPr>
          <w:rFonts w:ascii="Arial" w:hAnsi="Arial" w:cs="Arial"/>
        </w:rPr>
        <w:t xml:space="preserve">  </w:t>
      </w:r>
    </w:p>
    <w:p w14:paraId="48D80527" w14:textId="00AAE8D9"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BE251A">
        <w:rPr>
          <w:rFonts w:ascii="Arial" w:hAnsi="Arial" w:cs="Arial"/>
        </w:rPr>
        <w:t>5</w:t>
      </w:r>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ind w:left="576"/>
        <w:rPr>
          <w:rFonts w:ascii="Arial" w:hAnsi="Arial" w:cs="Arial"/>
          <w:sz w:val="22"/>
          <w:szCs w:val="22"/>
          <w:u w:val="none"/>
        </w:rPr>
      </w:pPr>
      <w:bookmarkStart w:id="1477" w:name="_Toc299549525"/>
      <w:bookmarkStart w:id="1478" w:name="_Toc343002961"/>
      <w:bookmarkStart w:id="1479"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0F53AA68" w14:textId="47222C4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profit and loss account, all conversions will normally be made using exchange rates at the dates of the transactions (or at average rate for the period when this is a reasonable approximation) as defined under </w:t>
      </w:r>
      <w:r w:rsidR="00F06506">
        <w:rPr>
          <w:rFonts w:ascii="Arial" w:hAnsi="Arial" w:cs="Arial"/>
        </w:rPr>
        <w:t>FRS102</w:t>
      </w:r>
      <w:r w:rsidRPr="00887B22">
        <w:rPr>
          <w:rFonts w:ascii="Arial" w:hAnsi="Arial" w:cs="Arial"/>
        </w:rPr>
        <w:t xml:space="preserve">, </w:t>
      </w:r>
      <w:r w:rsidR="00F06506">
        <w:rPr>
          <w:rFonts w:ascii="Arial" w:hAnsi="Arial" w:cs="Arial"/>
          <w:i/>
        </w:rPr>
        <w:t>Section 30 Foreign Currency Translation</w:t>
      </w:r>
      <w:r w:rsidRPr="00887B22">
        <w:rPr>
          <w:rFonts w:ascii="Arial" w:hAnsi="Arial" w:cs="Arial"/>
        </w:rPr>
        <w:t>. Lloyd’s will not prescribe the actual rates to be used.</w:t>
      </w:r>
    </w:p>
    <w:p w14:paraId="17BCFF1F" w14:textId="083FEDC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balance sheet, conversions must be made using closing rates of exchange in accordance with </w:t>
      </w:r>
      <w:r w:rsidR="00F06506">
        <w:rPr>
          <w:rFonts w:ascii="Arial" w:hAnsi="Arial" w:cs="Arial"/>
        </w:rPr>
        <w:t>FRS102</w:t>
      </w:r>
      <w:r w:rsidRPr="00887B22">
        <w:rPr>
          <w:rFonts w:ascii="Arial" w:hAnsi="Arial" w:cs="Arial"/>
        </w:rPr>
        <w:t xml:space="preserve">. Non-monetary items (if any) should be treated in the </w:t>
      </w:r>
      <w:r>
        <w:rPr>
          <w:rFonts w:ascii="Arial" w:hAnsi="Arial" w:cs="Arial"/>
        </w:rPr>
        <w:t>Q</w:t>
      </w:r>
      <w:r w:rsidRPr="00887B22">
        <w:rPr>
          <w:rFonts w:ascii="Arial" w:hAnsi="Arial" w:cs="Arial"/>
        </w:rPr>
        <w:t xml:space="preserve">SR </w:t>
      </w:r>
      <w:r>
        <w:rPr>
          <w:rFonts w:ascii="Arial" w:hAnsi="Arial" w:cs="Arial"/>
        </w:rPr>
        <w:t xml:space="preserve">and QAD </w:t>
      </w:r>
      <w:r w:rsidRPr="00887B22">
        <w:rPr>
          <w:rFonts w:ascii="Arial" w:hAnsi="Arial" w:cs="Arial"/>
        </w:rPr>
        <w:t xml:space="preserve">as per </w:t>
      </w:r>
      <w:r w:rsidR="00F06506">
        <w:rPr>
          <w:rFonts w:ascii="Arial" w:hAnsi="Arial" w:cs="Arial"/>
        </w:rPr>
        <w:t>FRS102 Section 30</w:t>
      </w:r>
      <w:r w:rsidRPr="00887B22">
        <w:rPr>
          <w:rFonts w:ascii="Arial" w:hAnsi="Arial" w:cs="Arial"/>
        </w:rPr>
        <w:t xml:space="preserve">. </w:t>
      </w:r>
      <w:r w:rsidR="00F06506">
        <w:rPr>
          <w:rFonts w:ascii="Arial" w:hAnsi="Arial" w:cs="Arial"/>
        </w:rPr>
        <w:t xml:space="preserve">FRS 102 Section 30 </w:t>
      </w:r>
      <w:r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lastRenderedPageBreak/>
        <w:t>Non-monetary items that are measured in terms of historical cost in a foreign currency should be translated using the exchange rate at the date of the transaction</w:t>
      </w:r>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480" w:name="_Toc343610461"/>
      <w:bookmarkStart w:id="1481" w:name="_Toc346004439"/>
      <w:bookmarkStart w:id="1482" w:name="_Toc346092655"/>
      <w:bookmarkStart w:id="1483" w:name="_Toc346099745"/>
      <w:bookmarkStart w:id="1484" w:name="_Toc346099925"/>
      <w:bookmarkStart w:id="1485" w:name="_Toc346100049"/>
      <w:bookmarkStart w:id="1486" w:name="_Toc346100152"/>
      <w:bookmarkStart w:id="1487" w:name="_Toc346100255"/>
      <w:bookmarkStart w:id="1488" w:name="_Toc346118562"/>
      <w:bookmarkStart w:id="1489" w:name="_Toc346193838"/>
      <w:bookmarkStart w:id="1490" w:name="_Toc346269053"/>
      <w:bookmarkStart w:id="1491" w:name="_Toc346528044"/>
      <w:bookmarkStart w:id="1492" w:name="_Toc346541172"/>
      <w:bookmarkStart w:id="1493" w:name="_Toc346628682"/>
      <w:bookmarkStart w:id="1494" w:name="_Toc346635589"/>
      <w:bookmarkStart w:id="1495" w:name="_Toc346705515"/>
      <w:bookmarkStart w:id="1496" w:name="_Toc346801697"/>
      <w:bookmarkStart w:id="1497" w:name="_Toc346801824"/>
      <w:bookmarkStart w:id="1498" w:name="_Toc346801949"/>
      <w:bookmarkStart w:id="1499" w:name="_Toc346869414"/>
      <w:bookmarkStart w:id="1500" w:name="_Toc346886793"/>
      <w:bookmarkStart w:id="1501" w:name="_Toc346893458"/>
      <w:bookmarkStart w:id="1502" w:name="_Toc346896587"/>
      <w:bookmarkStart w:id="1503" w:name="_Toc347127754"/>
      <w:bookmarkStart w:id="1504" w:name="_Toc347131447"/>
      <w:bookmarkStart w:id="1505" w:name="_Toc347133537"/>
      <w:bookmarkStart w:id="1506" w:name="_Toc347135308"/>
      <w:bookmarkStart w:id="1507" w:name="_Toc347138606"/>
      <w:bookmarkStart w:id="1508" w:name="_Toc347152448"/>
      <w:bookmarkStart w:id="1509" w:name="_Toc347152581"/>
      <w:bookmarkStart w:id="1510" w:name="_Toc347152936"/>
      <w:bookmarkStart w:id="1511" w:name="_Toc347214381"/>
      <w:bookmarkStart w:id="1512" w:name="_Toc347303066"/>
      <w:bookmarkStart w:id="1513" w:name="_Toc347387084"/>
      <w:bookmarkStart w:id="1514" w:name="_Toc347477325"/>
      <w:bookmarkStart w:id="1515" w:name="_Toc347492921"/>
      <w:bookmarkStart w:id="1516" w:name="_Toc347494891"/>
      <w:bookmarkStart w:id="1517" w:name="_Toc347501110"/>
      <w:bookmarkStart w:id="1518" w:name="_Toc294252513"/>
      <w:bookmarkStart w:id="1519" w:name="_Toc294272208"/>
      <w:bookmarkStart w:id="1520" w:name="_Toc294772951"/>
      <w:bookmarkStart w:id="1521" w:name="_Toc294774748"/>
      <w:bookmarkStart w:id="1522" w:name="_Toc294776349"/>
      <w:bookmarkStart w:id="1523" w:name="_Toc294777011"/>
      <w:bookmarkStart w:id="1524" w:name="_Toc294777144"/>
      <w:bookmarkStart w:id="1525" w:name="_Toc294777276"/>
      <w:bookmarkStart w:id="1526" w:name="_Toc294777407"/>
      <w:bookmarkStart w:id="1527" w:name="_Toc294777538"/>
      <w:bookmarkStart w:id="1528" w:name="_Toc294777668"/>
      <w:bookmarkStart w:id="1529" w:name="_Toc294779083"/>
      <w:bookmarkStart w:id="1530" w:name="_Toc294779942"/>
      <w:bookmarkStart w:id="1531" w:name="_Toc294785570"/>
      <w:bookmarkStart w:id="1532" w:name="_Toc294791507"/>
      <w:bookmarkStart w:id="1533" w:name="_Toc294793941"/>
      <w:bookmarkStart w:id="1534" w:name="_Toc294794326"/>
      <w:bookmarkStart w:id="1535" w:name="_Toc294794476"/>
      <w:bookmarkStart w:id="1536" w:name="_Toc294794622"/>
      <w:bookmarkStart w:id="1537" w:name="_Toc294794767"/>
      <w:bookmarkStart w:id="1538" w:name="_Toc294794911"/>
      <w:bookmarkStart w:id="1539" w:name="_Toc294795050"/>
      <w:bookmarkStart w:id="1540" w:name="_Toc294795189"/>
      <w:bookmarkStart w:id="1541" w:name="_Toc294795326"/>
      <w:bookmarkStart w:id="1542" w:name="_Toc294795462"/>
      <w:bookmarkStart w:id="1543" w:name="_Toc294797644"/>
      <w:bookmarkStart w:id="1544" w:name="_Toc294858471"/>
      <w:bookmarkStart w:id="1545" w:name="_Toc298767401"/>
      <w:bookmarkStart w:id="1546" w:name="_Toc298771427"/>
      <w:bookmarkStart w:id="1547" w:name="_Toc298853346"/>
      <w:bookmarkStart w:id="1548" w:name="_Toc299548078"/>
      <w:bookmarkStart w:id="1549" w:name="_Toc299548218"/>
      <w:bookmarkStart w:id="1550" w:name="_Toc299548359"/>
      <w:bookmarkStart w:id="1551" w:name="_Toc299549136"/>
      <w:bookmarkStart w:id="1552" w:name="_Toc299549330"/>
      <w:bookmarkStart w:id="1553" w:name="_Toc299549526"/>
      <w:bookmarkStart w:id="1554" w:name="_Toc299549527"/>
      <w:bookmarkStart w:id="1555" w:name="_Toc343002998"/>
      <w:bookmarkStart w:id="1556" w:name="_Toc352675367"/>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554"/>
      <w:bookmarkEnd w:id="1555"/>
      <w:bookmarkEnd w:id="1556"/>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557" w:name="_Toc294252515"/>
      <w:bookmarkStart w:id="1558" w:name="_Toc294272210"/>
      <w:bookmarkStart w:id="1559" w:name="_Toc294772953"/>
      <w:bookmarkStart w:id="1560" w:name="_Toc294774750"/>
      <w:bookmarkStart w:id="1561" w:name="_Toc294776351"/>
      <w:bookmarkStart w:id="1562" w:name="_Toc294777013"/>
      <w:bookmarkStart w:id="1563" w:name="_Toc294777146"/>
      <w:bookmarkStart w:id="1564" w:name="_Toc294777278"/>
      <w:bookmarkStart w:id="1565" w:name="_Toc294777409"/>
      <w:bookmarkStart w:id="1566" w:name="_Toc294777540"/>
      <w:bookmarkStart w:id="1567" w:name="_Toc294777670"/>
      <w:bookmarkStart w:id="1568" w:name="_Toc294779085"/>
      <w:bookmarkStart w:id="1569" w:name="_Toc294779944"/>
      <w:bookmarkStart w:id="1570" w:name="_Toc294785572"/>
      <w:bookmarkStart w:id="1571" w:name="_Toc294791509"/>
      <w:bookmarkStart w:id="1572" w:name="_Toc294793943"/>
      <w:bookmarkStart w:id="1573" w:name="_Toc294794328"/>
      <w:bookmarkStart w:id="1574" w:name="_Toc294794478"/>
      <w:bookmarkStart w:id="1575" w:name="_Toc294794624"/>
      <w:bookmarkStart w:id="1576" w:name="_Toc294794769"/>
      <w:bookmarkStart w:id="1577" w:name="_Toc294794913"/>
      <w:bookmarkStart w:id="1578" w:name="_Toc294795052"/>
      <w:bookmarkStart w:id="1579" w:name="_Toc294795191"/>
      <w:bookmarkStart w:id="1580" w:name="_Toc294795328"/>
      <w:bookmarkStart w:id="1581" w:name="_Toc294795464"/>
      <w:bookmarkStart w:id="1582" w:name="_Toc294797646"/>
      <w:bookmarkStart w:id="1583" w:name="_Toc294858473"/>
      <w:bookmarkStart w:id="1584" w:name="_Toc298767403"/>
      <w:bookmarkStart w:id="1585" w:name="_Toc298771429"/>
      <w:bookmarkStart w:id="1586" w:name="_Toc298853348"/>
      <w:bookmarkStart w:id="1587" w:name="_Toc299548080"/>
      <w:bookmarkStart w:id="1588" w:name="_Toc299548220"/>
      <w:bookmarkStart w:id="1589" w:name="_Toc299548361"/>
      <w:bookmarkStart w:id="1590" w:name="_Toc299549138"/>
      <w:bookmarkStart w:id="1591" w:name="_Toc299549332"/>
      <w:bookmarkStart w:id="1592" w:name="_Toc299549528"/>
      <w:bookmarkStart w:id="1593" w:name="_Toc299549529"/>
      <w:bookmarkStart w:id="1594" w:name="_Toc343003000"/>
      <w:bookmarkStart w:id="1595" w:name="_Toc352675368"/>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593"/>
      <w:bookmarkEnd w:id="1594"/>
      <w:bookmarkEnd w:id="1595"/>
    </w:p>
    <w:p w14:paraId="67D8CC6C"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6" w:name="_Toc343003001"/>
      <w:r w:rsidRPr="00887B22">
        <w:rPr>
          <w:rFonts w:ascii="Arial" w:hAnsi="Arial" w:cs="Arial"/>
        </w:rPr>
        <w:t>All amounts on each form must be completed as indicated on the form. Additional guidance is provided in respect of each form in these instructions.</w:t>
      </w:r>
      <w:bookmarkEnd w:id="1596"/>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7" w:name="_Toc343003002"/>
      <w:r w:rsidRPr="00887B22">
        <w:rPr>
          <w:rFonts w:ascii="Arial" w:hAnsi="Arial" w:cs="Arial"/>
        </w:rPr>
        <w:t>Certain figures disclosed on some forms in the return must agree or relate to figures on other forms.</w:t>
      </w:r>
      <w:bookmarkEnd w:id="1597"/>
    </w:p>
    <w:p w14:paraId="116F8870" w14:textId="1705C55C"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Pillar 3 returns must be prepared on the same underlying data as used in the preparation of the </w:t>
      </w:r>
      <w:r w:rsidR="00A46405">
        <w:rPr>
          <w:rFonts w:ascii="Arial" w:hAnsi="Arial" w:cs="Arial"/>
        </w:rPr>
        <w:t xml:space="preserve"> </w:t>
      </w:r>
      <w:r w:rsidR="00AE4B1F">
        <w:rPr>
          <w:rFonts w:ascii="Arial" w:hAnsi="Arial" w:cs="Arial"/>
        </w:rPr>
        <w:t>UK GAAP</w:t>
      </w:r>
      <w:r w:rsidR="00A46405">
        <w:rPr>
          <w:rFonts w:ascii="Arial" w:hAnsi="Arial" w:cs="Arial"/>
        </w:rPr>
        <w:t xml:space="preserve"> reporting</w:t>
      </w:r>
      <w:r w:rsidR="00401CE7">
        <w:rPr>
          <w:rFonts w:ascii="Arial" w:hAnsi="Arial" w:cs="Arial"/>
        </w:rPr>
        <w:t xml:space="preserve"> or QMA Delta</w:t>
      </w:r>
      <w:r w:rsidRPr="00887B22">
        <w:rPr>
          <w:rFonts w:ascii="Arial" w:hAnsi="Arial" w:cs="Arial"/>
        </w:rPr>
        <w:t xml:space="preserve">.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w:t>
      </w:r>
      <w:r w:rsidR="00AE4B1F">
        <w:rPr>
          <w:rFonts w:ascii="Arial" w:hAnsi="Arial" w:cs="Arial"/>
        </w:rPr>
        <w:t>UK GAAP</w:t>
      </w:r>
      <w:r w:rsidR="00817CB0">
        <w:rPr>
          <w:rFonts w:ascii="Arial" w:hAnsi="Arial" w:cs="Arial"/>
        </w:rPr>
        <w:t xml:space="preserve"> </w:t>
      </w:r>
      <w:r w:rsidR="00A46405">
        <w:rPr>
          <w:rFonts w:ascii="Arial" w:hAnsi="Arial" w:cs="Arial"/>
        </w:rPr>
        <w:t>reporting</w:t>
      </w:r>
      <w:r w:rsidR="00401CE7">
        <w:rPr>
          <w:rFonts w:ascii="Arial" w:hAnsi="Arial" w:cs="Arial"/>
        </w:rPr>
        <w:t xml:space="preserve"> or QMA Delta</w:t>
      </w:r>
      <w:r w:rsidRPr="00887B22">
        <w:rPr>
          <w:rFonts w:ascii="Arial" w:hAnsi="Arial" w:cs="Arial"/>
        </w:rPr>
        <w:t xml:space="preserve">.  Furthermore, any adjustments made to technical provisions for Solvency II purposes shall be based on the underlying technical provisions reported in the </w:t>
      </w:r>
      <w:r w:rsidR="00AE4B1F">
        <w:rPr>
          <w:rFonts w:ascii="Arial" w:hAnsi="Arial" w:cs="Arial"/>
        </w:rPr>
        <w:t>UK GAAP</w:t>
      </w:r>
      <w:r w:rsidR="00A46405">
        <w:rPr>
          <w:rFonts w:ascii="Arial" w:hAnsi="Arial" w:cs="Arial"/>
        </w:rPr>
        <w:t xml:space="preserve"> reporting</w:t>
      </w:r>
      <w:r w:rsidR="00401CE7">
        <w:rPr>
          <w:rFonts w:ascii="Arial" w:hAnsi="Arial" w:cs="Arial"/>
        </w:rPr>
        <w:t xml:space="preserve"> or QMA Delta</w:t>
      </w:r>
      <w:r w:rsidRPr="00887B22">
        <w:rPr>
          <w:rFonts w:ascii="Arial" w:hAnsi="Arial" w:cs="Arial"/>
        </w:rPr>
        <w:t>.</w:t>
      </w:r>
    </w:p>
    <w:p w14:paraId="7ED1E79C" w14:textId="77777777" w:rsidR="004A1C88" w:rsidRPr="00887B22" w:rsidRDefault="0062697A" w:rsidP="004A1C88">
      <w:pPr>
        <w:pStyle w:val="Heading2"/>
        <w:spacing w:after="120" w:line="280" w:lineRule="atLeast"/>
        <w:ind w:left="576"/>
        <w:rPr>
          <w:rFonts w:ascii="Arial" w:hAnsi="Arial" w:cs="Arial"/>
          <w:sz w:val="20"/>
          <w:u w:val="none"/>
        </w:rPr>
      </w:pPr>
      <w:bookmarkStart w:id="1598" w:name="_Toc343181661"/>
      <w:bookmarkStart w:id="1599" w:name="_Toc343261703"/>
      <w:bookmarkStart w:id="1600" w:name="_Toc343261861"/>
      <w:bookmarkStart w:id="1601" w:name="_Toc343262019"/>
      <w:bookmarkStart w:id="1602" w:name="_Toc343262177"/>
      <w:bookmarkStart w:id="1603" w:name="_Toc343262332"/>
      <w:bookmarkStart w:id="1604" w:name="_Toc343262486"/>
      <w:bookmarkStart w:id="1605" w:name="_Toc343262629"/>
      <w:bookmarkStart w:id="1606" w:name="_Toc343262949"/>
      <w:bookmarkStart w:id="1607" w:name="_Toc343263667"/>
      <w:bookmarkStart w:id="1608" w:name="_Toc343263791"/>
      <w:bookmarkStart w:id="1609" w:name="_Toc343263914"/>
      <w:bookmarkStart w:id="1610" w:name="_Toc343264051"/>
      <w:bookmarkStart w:id="1611" w:name="_Toc343264342"/>
      <w:bookmarkStart w:id="1612" w:name="_Toc343266096"/>
      <w:bookmarkStart w:id="1613" w:name="_Toc343267235"/>
      <w:bookmarkStart w:id="1614" w:name="_Toc290978431"/>
      <w:bookmarkStart w:id="1615" w:name="_Toc290978522"/>
      <w:bookmarkStart w:id="1616" w:name="_Toc290978613"/>
      <w:bookmarkStart w:id="1617" w:name="_Toc290978704"/>
      <w:bookmarkStart w:id="1618" w:name="_Toc290978794"/>
      <w:bookmarkStart w:id="1619" w:name="_Toc290989388"/>
      <w:bookmarkStart w:id="1620" w:name="_Toc290989566"/>
      <w:bookmarkStart w:id="1621" w:name="_Toc291143526"/>
      <w:bookmarkStart w:id="1622" w:name="_Toc291143617"/>
      <w:bookmarkStart w:id="1623" w:name="_Toc291143955"/>
      <w:bookmarkStart w:id="1624" w:name="_Toc291144324"/>
      <w:bookmarkStart w:id="1625" w:name="_Toc291144987"/>
      <w:bookmarkStart w:id="1626" w:name="_Toc294252517"/>
      <w:bookmarkStart w:id="1627" w:name="_Toc294272212"/>
      <w:bookmarkStart w:id="1628" w:name="_Toc294772955"/>
      <w:bookmarkStart w:id="1629" w:name="_Toc294774752"/>
      <w:bookmarkStart w:id="1630" w:name="_Toc294776353"/>
      <w:bookmarkStart w:id="1631" w:name="_Toc294777015"/>
      <w:bookmarkStart w:id="1632" w:name="_Toc294777148"/>
      <w:bookmarkStart w:id="1633" w:name="_Toc294777280"/>
      <w:bookmarkStart w:id="1634" w:name="_Toc294777411"/>
      <w:bookmarkStart w:id="1635" w:name="_Toc294777542"/>
      <w:bookmarkStart w:id="1636" w:name="_Toc294777672"/>
      <w:bookmarkStart w:id="1637" w:name="_Toc294779087"/>
      <w:bookmarkStart w:id="1638" w:name="_Toc294779946"/>
      <w:bookmarkStart w:id="1639" w:name="_Toc294785574"/>
      <w:bookmarkStart w:id="1640" w:name="_Toc294791511"/>
      <w:bookmarkStart w:id="1641" w:name="_Toc294793945"/>
      <w:bookmarkStart w:id="1642" w:name="_Toc294794330"/>
      <w:bookmarkStart w:id="1643" w:name="_Toc294794480"/>
      <w:bookmarkStart w:id="1644" w:name="_Toc294794626"/>
      <w:bookmarkStart w:id="1645" w:name="_Toc294794771"/>
      <w:bookmarkStart w:id="1646" w:name="_Toc294794915"/>
      <w:bookmarkStart w:id="1647" w:name="_Toc294795054"/>
      <w:bookmarkStart w:id="1648" w:name="_Toc294795193"/>
      <w:bookmarkStart w:id="1649" w:name="_Toc294795330"/>
      <w:bookmarkStart w:id="1650" w:name="_Toc294795466"/>
      <w:bookmarkStart w:id="1651" w:name="_Toc294797648"/>
      <w:bookmarkStart w:id="1652" w:name="_Toc294858475"/>
      <w:bookmarkStart w:id="1653" w:name="_Toc298767405"/>
      <w:bookmarkStart w:id="1654" w:name="_Toc298771431"/>
      <w:bookmarkStart w:id="1655" w:name="_Toc298853350"/>
      <w:bookmarkStart w:id="1656" w:name="_Toc299548082"/>
      <w:bookmarkStart w:id="1657" w:name="_Toc299548222"/>
      <w:bookmarkStart w:id="1658" w:name="_Toc299548363"/>
      <w:bookmarkStart w:id="1659" w:name="_Toc299549140"/>
      <w:bookmarkStart w:id="1660" w:name="_Toc299549334"/>
      <w:bookmarkStart w:id="1661" w:name="_Toc299549530"/>
      <w:bookmarkStart w:id="1662" w:name="_Toc180918387"/>
      <w:bookmarkStart w:id="1663" w:name="_Toc180919597"/>
      <w:bookmarkStart w:id="1664" w:name="_Toc180919777"/>
      <w:bookmarkStart w:id="1665" w:name="_Toc180921100"/>
      <w:bookmarkStart w:id="1666" w:name="_Toc180921622"/>
      <w:bookmarkStart w:id="1667" w:name="_Toc180979292"/>
      <w:bookmarkStart w:id="1668" w:name="_Toc180979618"/>
      <w:bookmarkStart w:id="1669" w:name="_Toc182383172"/>
      <w:bookmarkStart w:id="1670" w:name="_Toc182386668"/>
      <w:bookmarkStart w:id="1671" w:name="_Toc299549531"/>
      <w:bookmarkStart w:id="1672" w:name="_Toc343003003"/>
      <w:bookmarkStart w:id="1673" w:name="_Toc352675369"/>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Pr>
          <w:rFonts w:ascii="Arial" w:hAnsi="Arial" w:cs="Arial"/>
          <w:sz w:val="20"/>
          <w:u w:val="none"/>
        </w:rPr>
        <w:t xml:space="preserve">  </w:t>
      </w:r>
      <w:r w:rsidR="004A1C88" w:rsidRPr="00887B22">
        <w:rPr>
          <w:rFonts w:ascii="Arial" w:hAnsi="Arial" w:cs="Arial"/>
          <w:sz w:val="20"/>
          <w:u w:val="none"/>
        </w:rPr>
        <w:t>‘</w:t>
      </w:r>
      <w:r w:rsidR="004A1C88" w:rsidRPr="006F54CB">
        <w:rPr>
          <w:rFonts w:ascii="Arial" w:hAnsi="Arial" w:cs="Arial"/>
          <w:sz w:val="22"/>
          <w:szCs w:val="22"/>
          <w:u w:val="none"/>
        </w:rPr>
        <w:t>Analysis</w:t>
      </w:r>
      <w:r w:rsidR="004A1C88" w:rsidRPr="00887B22">
        <w:rPr>
          <w:rFonts w:ascii="Arial" w:hAnsi="Arial" w:cs="Arial"/>
          <w:sz w:val="22"/>
          <w:szCs w:val="22"/>
          <w:u w:val="none"/>
        </w:rPr>
        <w:t>’ cells</w:t>
      </w:r>
      <w:bookmarkEnd w:id="1662"/>
      <w:bookmarkEnd w:id="1663"/>
      <w:bookmarkEnd w:id="1664"/>
      <w:bookmarkEnd w:id="1665"/>
      <w:bookmarkEnd w:id="1666"/>
      <w:bookmarkEnd w:id="1667"/>
      <w:bookmarkEnd w:id="1668"/>
      <w:bookmarkEnd w:id="1669"/>
      <w:bookmarkEnd w:id="1670"/>
      <w:bookmarkEnd w:id="1671"/>
      <w:bookmarkEnd w:id="1672"/>
      <w:bookmarkEnd w:id="1673"/>
    </w:p>
    <w:p w14:paraId="55AF41FC" w14:textId="77777777" w:rsidR="004A1C88" w:rsidRPr="00887B22" w:rsidRDefault="004A1C88" w:rsidP="0084275B">
      <w:pPr>
        <w:numPr>
          <w:ilvl w:val="2"/>
          <w:numId w:val="25"/>
        </w:numPr>
        <w:spacing w:after="120" w:line="280" w:lineRule="atLeast"/>
        <w:rPr>
          <w:rFonts w:ascii="Arial" w:hAnsi="Arial" w:cs="Arial"/>
        </w:rPr>
      </w:pPr>
      <w:bookmarkStart w:id="1674" w:name="_Toc343003004"/>
      <w:r w:rsidRPr="00887B22">
        <w:rPr>
          <w:rFonts w:ascii="Arial" w:hAnsi="Arial" w:cs="Arial"/>
        </w:rPr>
        <w:t>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use the suggested description in the analysis section where appropriate.</w:t>
      </w:r>
      <w:bookmarkEnd w:id="1674"/>
    </w:p>
    <w:p w14:paraId="3F833331" w14:textId="77777777" w:rsidR="004A1C88" w:rsidRPr="00887B22" w:rsidRDefault="004A1C88" w:rsidP="0084275B">
      <w:pPr>
        <w:numPr>
          <w:ilvl w:val="2"/>
          <w:numId w:val="25"/>
        </w:numPr>
        <w:spacing w:after="120" w:line="280" w:lineRule="atLeast"/>
        <w:rPr>
          <w:rFonts w:ascii="Arial" w:hAnsi="Arial" w:cs="Arial"/>
        </w:rPr>
      </w:pPr>
      <w:r w:rsidRPr="00887B22">
        <w:rPr>
          <w:rFonts w:ascii="Arial" w:hAnsi="Arial" w:cs="Arial"/>
        </w:rPr>
        <w:t>A</w:t>
      </w:r>
      <w:bookmarkStart w:id="1675" w:name="_Toc343003005"/>
      <w:r w:rsidRPr="00887B22">
        <w:rPr>
          <w:rFonts w:ascii="Arial" w:hAnsi="Arial" w:cs="Arial"/>
        </w:rPr>
        <w: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t>
      </w:r>
      <w:r w:rsidR="005448A0" w:rsidRPr="00887B22">
        <w:rPr>
          <w:rFonts w:ascii="Arial" w:hAnsi="Arial" w:cs="Arial"/>
        </w:rPr>
        <w:t>agent given</w:t>
      </w:r>
      <w:r w:rsidRPr="00887B22">
        <w:rPr>
          <w:rFonts w:ascii="Arial" w:hAnsi="Arial" w:cs="Arial"/>
        </w:rPr>
        <w:t xml:space="preserve"> the circumstances of the syndicate and the nature of the analysis figure.</w:t>
      </w:r>
      <w:bookmarkEnd w:id="1675"/>
    </w:p>
    <w:p w14:paraId="274FC60E"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676" w:name="_Toc343181663"/>
      <w:bookmarkStart w:id="1677" w:name="_Toc343261705"/>
      <w:bookmarkStart w:id="1678" w:name="_Toc343261863"/>
      <w:bookmarkStart w:id="1679" w:name="_Toc343262021"/>
      <w:bookmarkStart w:id="1680" w:name="_Toc343262179"/>
      <w:bookmarkStart w:id="1681" w:name="_Toc343262334"/>
      <w:bookmarkStart w:id="1682" w:name="_Toc343262488"/>
      <w:bookmarkStart w:id="1683" w:name="_Toc343262631"/>
      <w:bookmarkStart w:id="1684" w:name="_Toc343262951"/>
      <w:bookmarkStart w:id="1685" w:name="_Toc343263669"/>
      <w:bookmarkStart w:id="1686" w:name="_Toc343263793"/>
      <w:bookmarkStart w:id="1687" w:name="_Toc343263916"/>
      <w:bookmarkStart w:id="1688" w:name="_Toc343264053"/>
      <w:bookmarkStart w:id="1689" w:name="_Toc343264344"/>
      <w:bookmarkStart w:id="1690" w:name="_Toc343266098"/>
      <w:bookmarkStart w:id="1691" w:name="_Toc343267237"/>
      <w:bookmarkStart w:id="1692" w:name="_Toc299549532"/>
      <w:bookmarkStart w:id="1693" w:name="_Toc343003006"/>
      <w:bookmarkStart w:id="1694" w:name="_Toc352675370"/>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r>
        <w:rPr>
          <w:rFonts w:ascii="Arial" w:hAnsi="Arial" w:cs="Arial"/>
          <w:sz w:val="22"/>
          <w:szCs w:val="22"/>
          <w:u w:val="none"/>
        </w:rPr>
        <w:t xml:space="preserve">  </w:t>
      </w:r>
      <w:r w:rsidR="004A1C88" w:rsidRPr="006F54CB">
        <w:rPr>
          <w:rFonts w:ascii="Arial" w:hAnsi="Arial" w:cs="Arial"/>
          <w:sz w:val="22"/>
          <w:szCs w:val="22"/>
          <w:u w:val="none"/>
        </w:rPr>
        <w:t>Equitas</w:t>
      </w:r>
      <w:bookmarkEnd w:id="1692"/>
      <w:bookmarkEnd w:id="1693"/>
      <w:bookmarkEnd w:id="1694"/>
    </w:p>
    <w:p w14:paraId="3A6DC61A" w14:textId="77777777" w:rsidR="004A1C88" w:rsidRPr="00AB597F" w:rsidRDefault="004A1C88" w:rsidP="0084275B">
      <w:pPr>
        <w:widowControl w:val="0"/>
        <w:numPr>
          <w:ilvl w:val="2"/>
          <w:numId w:val="26"/>
        </w:numPr>
        <w:spacing w:after="120" w:line="280" w:lineRule="atLeast"/>
        <w:rPr>
          <w:rFonts w:ascii="Arial" w:hAnsi="Arial" w:cs="Arial"/>
          <w:sz w:val="22"/>
          <w:szCs w:val="22"/>
        </w:rPr>
      </w:pPr>
      <w:bookmarkStart w:id="1695" w:name="_Toc343003007"/>
      <w:r w:rsidRPr="00887B22">
        <w:rPr>
          <w:rFonts w:ascii="Arial" w:hAnsi="Arial" w:cs="Arial"/>
        </w:rPr>
        <w:t>The Pillar 3 returns must be prepared on a basis of recognising the reinsurance to close of all 1992 and prior non-life business into Equitas,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695"/>
    </w:p>
    <w:p w14:paraId="2055A412" w14:textId="77777777" w:rsidR="004A1C88" w:rsidRPr="0093115C" w:rsidRDefault="0062697A" w:rsidP="004A1C88">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696" w:name="_Toc350154786"/>
      <w:bookmarkStart w:id="1697" w:name="_Toc351994496"/>
      <w:bookmarkStart w:id="1698" w:name="_Toc351994728"/>
      <w:bookmarkStart w:id="1699" w:name="_Toc351996042"/>
      <w:bookmarkStart w:id="1700" w:name="_Toc347133545"/>
      <w:bookmarkStart w:id="1701" w:name="_Toc347135314"/>
      <w:bookmarkStart w:id="1702" w:name="_Toc347138612"/>
      <w:bookmarkStart w:id="1703" w:name="_Toc347152454"/>
      <w:bookmarkStart w:id="1704" w:name="_Toc347152587"/>
      <w:bookmarkStart w:id="1705" w:name="_Toc347152942"/>
      <w:bookmarkStart w:id="1706" w:name="_Toc347214387"/>
      <w:bookmarkStart w:id="1707" w:name="_Toc347303072"/>
      <w:bookmarkStart w:id="1708" w:name="_Toc347387090"/>
      <w:bookmarkStart w:id="1709" w:name="_Toc347477331"/>
      <w:bookmarkStart w:id="1710" w:name="_Toc347492927"/>
      <w:bookmarkStart w:id="1711" w:name="_Toc347494897"/>
      <w:bookmarkStart w:id="1712" w:name="_Toc347501116"/>
      <w:bookmarkStart w:id="1713" w:name="_Toc278875007"/>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10840B1A" w14:textId="7E8CF400"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AA3A97">
        <w:rPr>
          <w:rFonts w:ascii="Arial" w:hAnsi="Arial" w:cs="Arial"/>
          <w:b w:val="0"/>
          <w:sz w:val="20"/>
        </w:rPr>
        <w:t>quarterly Pillar 3 reporting required for each quarter end from</w:t>
      </w:r>
      <w:r w:rsidR="00034898">
        <w:rPr>
          <w:rFonts w:ascii="Arial" w:hAnsi="Arial" w:cs="Arial"/>
          <w:sz w:val="20"/>
        </w:rPr>
        <w:t xml:space="preserve"> </w:t>
      </w:r>
      <w:r w:rsidR="00CE3EFE">
        <w:rPr>
          <w:rFonts w:ascii="Arial" w:hAnsi="Arial" w:cs="Arial"/>
          <w:sz w:val="20"/>
        </w:rPr>
        <w:t>3</w:t>
      </w:r>
      <w:r w:rsidR="005245BB">
        <w:rPr>
          <w:rFonts w:ascii="Arial" w:hAnsi="Arial" w:cs="Arial"/>
          <w:sz w:val="20"/>
        </w:rPr>
        <w:t>0</w:t>
      </w:r>
      <w:r w:rsidR="00CE3EFE">
        <w:rPr>
          <w:rFonts w:ascii="Arial" w:hAnsi="Arial" w:cs="Arial"/>
          <w:sz w:val="20"/>
        </w:rPr>
        <w:t xml:space="preserve"> </w:t>
      </w:r>
      <w:r w:rsidR="00450FCC">
        <w:rPr>
          <w:rFonts w:ascii="Arial" w:hAnsi="Arial" w:cs="Arial"/>
          <w:sz w:val="20"/>
        </w:rPr>
        <w:t>September</w:t>
      </w:r>
      <w:r w:rsidR="00BE251A">
        <w:rPr>
          <w:rFonts w:ascii="Arial" w:hAnsi="Arial" w:cs="Arial"/>
          <w:sz w:val="20"/>
        </w:rPr>
        <w:t xml:space="preserve"> </w:t>
      </w:r>
      <w:r w:rsidR="00D81BF3">
        <w:rPr>
          <w:rFonts w:ascii="Arial" w:hAnsi="Arial" w:cs="Arial"/>
          <w:sz w:val="20"/>
        </w:rPr>
        <w:t>202</w:t>
      </w:r>
      <w:r w:rsidR="00BE251A">
        <w:rPr>
          <w:rFonts w:ascii="Arial" w:hAnsi="Arial" w:cs="Arial"/>
          <w:sz w:val="20"/>
        </w:rPr>
        <w:t>5</w:t>
      </w:r>
      <w:r w:rsidR="00AA3A97">
        <w:rPr>
          <w:rFonts w:ascii="Arial" w:hAnsi="Arial" w:cs="Arial"/>
          <w:b w:val="0"/>
          <w:sz w:val="20"/>
        </w:rPr>
        <w:t xml:space="preserve"> onwards</w:t>
      </w:r>
      <w:r w:rsidRPr="00A433BA">
        <w:rPr>
          <w:rFonts w:ascii="Arial" w:hAnsi="Arial" w:cs="Arial"/>
          <w:sz w:val="20"/>
        </w:rPr>
        <w:t>.</w:t>
      </w:r>
    </w:p>
    <w:p w14:paraId="34AA9FA4" w14:textId="77777777" w:rsidR="004A1C88" w:rsidRPr="00A82946"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Use of QSR</w:t>
      </w:r>
      <w:r w:rsidR="002B7ABA" w:rsidRPr="00A82946">
        <w:rPr>
          <w:rFonts w:ascii="Arial" w:hAnsi="Arial" w:cs="Arial"/>
          <w:sz w:val="22"/>
          <w:szCs w:val="22"/>
        </w:rPr>
        <w:t>9</w:t>
      </w:r>
      <w:r w:rsidRPr="00A82946">
        <w:rPr>
          <w:rFonts w:ascii="Arial" w:hAnsi="Arial" w:cs="Arial"/>
          <w:sz w:val="22"/>
          <w:szCs w:val="22"/>
        </w:rPr>
        <w:t>90</w:t>
      </w:r>
      <w:r w:rsidR="002B7ABA" w:rsidRPr="00A82946">
        <w:rPr>
          <w:rFonts w:ascii="Arial" w:hAnsi="Arial" w:cs="Arial"/>
          <w:sz w:val="22"/>
          <w:szCs w:val="22"/>
        </w:rPr>
        <w:t xml:space="preserve"> </w:t>
      </w:r>
      <w:r w:rsidR="00AA3A97" w:rsidRPr="00A82946">
        <w:rPr>
          <w:rFonts w:ascii="Arial" w:hAnsi="Arial" w:cs="Arial"/>
          <w:sz w:val="22"/>
          <w:szCs w:val="22"/>
        </w:rPr>
        <w:t xml:space="preserve">and QAD990 </w:t>
      </w:r>
      <w:r w:rsidRPr="00A82946">
        <w:rPr>
          <w:rFonts w:ascii="Arial" w:hAnsi="Arial" w:cs="Arial"/>
          <w:sz w:val="22"/>
          <w:szCs w:val="22"/>
        </w:rPr>
        <w:t>to clarify approach to completion</w:t>
      </w:r>
    </w:p>
    <w:p w14:paraId="10BB1D17" w14:textId="77777777" w:rsidR="00BE75F9" w:rsidRDefault="004A1C88" w:rsidP="00BA6E9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QSR990 </w:t>
      </w:r>
      <w:r w:rsidR="00AA3A97" w:rsidRPr="00BE75F9">
        <w:rPr>
          <w:rFonts w:ascii="Arial" w:hAnsi="Arial" w:cs="Arial"/>
          <w:b w:val="0"/>
          <w:sz w:val="20"/>
        </w:rPr>
        <w:t xml:space="preserve">and QAD990 </w:t>
      </w:r>
      <w:r w:rsidRPr="00BE75F9">
        <w:rPr>
          <w:rFonts w:ascii="Arial" w:hAnsi="Arial" w:cs="Arial"/>
          <w:b w:val="0"/>
          <w:sz w:val="20"/>
        </w:rPr>
        <w:t xml:space="preserve">where they consider that this would help Lloyd’s understand the approach taken in the completion of </w:t>
      </w:r>
      <w:r w:rsidRPr="00BE75F9">
        <w:rPr>
          <w:rFonts w:ascii="Arial" w:hAnsi="Arial" w:cs="Arial"/>
          <w:b w:val="0"/>
          <w:sz w:val="20"/>
        </w:rPr>
        <w:lastRenderedPageBreak/>
        <w:t>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77777777" w:rsidR="00FF3016" w:rsidRPr="00FF3016" w:rsidRDefault="00FF3016" w:rsidP="00E3092B">
      <w:pPr>
        <w:spacing w:line="276" w:lineRule="auto"/>
        <w:ind w:left="720" w:hanging="720"/>
        <w:rPr>
          <w:rFonts w:ascii="Arial" w:hAnsi="Arial" w:cs="Arial"/>
        </w:rPr>
      </w:pPr>
      <w:r w:rsidRPr="00FF3016">
        <w:rPr>
          <w:rFonts w:ascii="Arial" w:hAnsi="Arial" w:cs="Arial"/>
        </w:rPr>
        <w:t>2.12.2</w:t>
      </w:r>
      <w:r w:rsidRPr="00FF3016">
        <w:rPr>
          <w:rFonts w:ascii="Arial" w:hAnsi="Arial" w:cs="Arial"/>
        </w:rPr>
        <w:tab/>
      </w:r>
      <w:r w:rsidR="002C138F">
        <w:rPr>
          <w:rFonts w:ascii="Arial" w:hAnsi="Arial" w:cs="Arial"/>
        </w:rPr>
        <w:t xml:space="preserve">In addition, an explanation should be provided on the QSR990 or QAD990 as appropriate for items where a ‘warning’ message appears on the CMR software.  One explanation shall be sufficient in respect of a group of related items with the same warning. </w:t>
      </w:r>
    </w:p>
    <w:p w14:paraId="3F6AD818" w14:textId="77777777" w:rsidR="00FF3016" w:rsidRPr="00FF3016" w:rsidRDefault="00FF3016" w:rsidP="00FF3016"/>
    <w:p w14:paraId="00F0F175" w14:textId="77777777" w:rsidR="00BE75F9" w:rsidRPr="00BE75F9" w:rsidRDefault="00BE75F9" w:rsidP="00BE75F9">
      <w:pPr>
        <w:rPr>
          <w:rFonts w:ascii="Arial" w:hAnsi="Arial" w:cs="Arial"/>
        </w:rPr>
      </w:pPr>
      <w:r w:rsidRPr="00BE75F9">
        <w:rPr>
          <w:rFonts w:ascii="Arial" w:hAnsi="Arial" w:cs="Arial"/>
        </w:rPr>
        <w:t>2.12.</w:t>
      </w:r>
      <w:r w:rsidR="00FF3016">
        <w:rPr>
          <w:rFonts w:ascii="Arial" w:hAnsi="Arial" w:cs="Arial"/>
        </w:rPr>
        <w:t>3</w:t>
      </w:r>
      <w:r w:rsidRPr="00BE75F9">
        <w:rPr>
          <w:rFonts w:ascii="Arial" w:hAnsi="Arial" w:cs="Arial"/>
        </w:rPr>
        <w:tab/>
        <w:t xml:space="preserve">Areas which the managing agent may wish to comment on include, but are not limited to: </w:t>
      </w:r>
    </w:p>
    <w:p w14:paraId="366BB5B9"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CE5536">
        <w:rPr>
          <w:rFonts w:ascii="Arial" w:hAnsi="Arial" w:cs="Arial"/>
          <w:sz w:val="20"/>
          <w:lang w:val="en-GB"/>
        </w:rPr>
        <w:t>An explanation as to</w:t>
      </w:r>
      <w:r w:rsidRPr="00BE75F9">
        <w:rPr>
          <w:rFonts w:ascii="Arial" w:hAnsi="Arial" w:cs="Arial"/>
          <w:spacing w:val="-2"/>
          <w:kern w:val="28"/>
          <w:sz w:val="20"/>
          <w:lang w:val="en-GB" w:eastAsia="en-GB"/>
        </w:rPr>
        <w:t xml:space="preserve"> why the Solvency II results for </w:t>
      </w:r>
      <w:r>
        <w:rPr>
          <w:rFonts w:ascii="Arial" w:hAnsi="Arial" w:cs="Arial"/>
          <w:spacing w:val="-2"/>
          <w:kern w:val="28"/>
          <w:sz w:val="20"/>
          <w:lang w:val="en-GB" w:eastAsia="en-GB"/>
        </w:rPr>
        <w:t>any reporting year is</w:t>
      </w:r>
      <w:r w:rsidRPr="00BE75F9">
        <w:rPr>
          <w:rFonts w:ascii="Arial" w:hAnsi="Arial" w:cs="Arial"/>
          <w:spacing w:val="-2"/>
          <w:kern w:val="28"/>
          <w:sz w:val="20"/>
          <w:lang w:val="en-GB" w:eastAsia="en-GB"/>
        </w:rPr>
        <w:t xml:space="preserve"> significantly different from their respective UK GAAP results.</w:t>
      </w:r>
    </w:p>
    <w:p w14:paraId="5D275818" w14:textId="27731F8A"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Where there are unexpected adjustments between UK GAAP and Solvency II</w:t>
      </w:r>
      <w:r w:rsidR="001906FE">
        <w:rPr>
          <w:rFonts w:ascii="Arial" w:hAnsi="Arial" w:cs="Arial"/>
          <w:spacing w:val="-2"/>
          <w:kern w:val="28"/>
          <w:sz w:val="20"/>
          <w:lang w:val="en-GB" w:eastAsia="en-GB"/>
        </w:rPr>
        <w:t>,</w:t>
      </w:r>
      <w:r w:rsidRPr="00BE75F9">
        <w:rPr>
          <w:rFonts w:ascii="Arial" w:hAnsi="Arial" w:cs="Arial"/>
          <w:spacing w:val="-2"/>
          <w:kern w:val="28"/>
          <w:sz w:val="20"/>
          <w:lang w:val="en-GB" w:eastAsia="en-GB"/>
        </w:rPr>
        <w:t xml:space="preserve"> such as </w:t>
      </w:r>
      <w:r w:rsidR="00C45633">
        <w:rPr>
          <w:rFonts w:ascii="Arial" w:hAnsi="Arial" w:cs="Arial"/>
          <w:spacing w:val="-2"/>
          <w:kern w:val="28"/>
          <w:sz w:val="20"/>
          <w:lang w:val="en-GB" w:eastAsia="en-GB"/>
        </w:rPr>
        <w:t>the historica</w:t>
      </w:r>
      <w:r w:rsidR="001906FE">
        <w:rPr>
          <w:rFonts w:ascii="Arial" w:hAnsi="Arial" w:cs="Arial"/>
          <w:spacing w:val="-2"/>
          <w:kern w:val="28"/>
          <w:sz w:val="20"/>
          <w:lang w:val="en-GB" w:eastAsia="en-GB"/>
        </w:rPr>
        <w:t>l</w:t>
      </w:r>
      <w:r w:rsidR="00C45633">
        <w:rPr>
          <w:rFonts w:ascii="Arial" w:hAnsi="Arial" w:cs="Arial"/>
          <w:spacing w:val="-2"/>
          <w:kern w:val="28"/>
          <w:sz w:val="20"/>
          <w:lang w:val="en-GB" w:eastAsia="en-GB"/>
        </w:rPr>
        <w:t xml:space="preserve"> adjustments </w:t>
      </w:r>
      <w:r w:rsidRPr="00BE75F9">
        <w:rPr>
          <w:rFonts w:ascii="Arial" w:hAnsi="Arial" w:cs="Arial"/>
          <w:spacing w:val="-2"/>
          <w:kern w:val="28"/>
          <w:sz w:val="20"/>
          <w:lang w:val="en-GB" w:eastAsia="en-GB"/>
        </w:rPr>
        <w:t>on QMA002 Line 26 “Deposits to Cedants”, Line 38 “Provisions other than technical provisions” and Line 42 “Deposits from reinsurers”, they should be confirmed.</w:t>
      </w:r>
    </w:p>
    <w:p w14:paraId="3848889B"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elimination of the unearned premium reserve as shown in the GAAP balance sheet is different to that shown on QSR210, Line 2.</w:t>
      </w:r>
    </w:p>
    <w:p w14:paraId="51AD740E" w14:textId="415622F6"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any difference between the elimination of DAC shown on QSR002 and QSR210. </w:t>
      </w:r>
      <w:r w:rsidR="00081E28">
        <w:rPr>
          <w:rFonts w:ascii="Arial" w:hAnsi="Arial" w:cs="Arial"/>
          <w:spacing w:val="-2"/>
          <w:kern w:val="28"/>
          <w:sz w:val="20"/>
          <w:lang w:val="en-GB" w:eastAsia="en-GB"/>
        </w:rPr>
        <w:t xml:space="preserve">It is expected that net </w:t>
      </w:r>
      <w:r w:rsidR="00755E04">
        <w:rPr>
          <w:rFonts w:ascii="Arial" w:hAnsi="Arial" w:cs="Arial"/>
          <w:spacing w:val="-2"/>
          <w:kern w:val="28"/>
          <w:sz w:val="20"/>
          <w:lang w:val="en-GB" w:eastAsia="en-GB"/>
        </w:rPr>
        <w:t>DAC is reported in Line 3 of the QSR 210.</w:t>
      </w:r>
    </w:p>
    <w:p w14:paraId="064A1D73" w14:textId="1E591377" w:rsid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there are any unusual circumstances surrounding the elimination of the margin for prudence (QSR210 Line 4) and in particular if the margin is greater than that shown on the signing actuary’s opinion, with supporting commentary from the signing actuary where appropriate.</w:t>
      </w:r>
    </w:p>
    <w:p w14:paraId="5A4C709B" w14:textId="7E23B2D5" w:rsidR="00471D9A" w:rsidRPr="000A3496" w:rsidRDefault="00471D9A"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Pr>
          <w:rFonts w:ascii="Arial" w:hAnsi="Arial" w:cs="Arial"/>
          <w:spacing w:val="-2"/>
          <w:kern w:val="28"/>
          <w:sz w:val="20"/>
          <w:lang w:val="en-GB" w:eastAsia="en-GB"/>
        </w:rPr>
        <w:t>Explanation of any adjustments made to Line 16 of QSR210 to meet the solvency tests relating to the elimination of the margin for prudence (QSR210 Line 4) and the cap on the unearned profit (QSR210 Lines 19 &amp; 20).</w:t>
      </w:r>
    </w:p>
    <w:p w14:paraId="64586884"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Explanation of instances where the reinsurance receivables/payables transferred to technical provisions on Line 7 of QSR210 are different to the QSR002 amounts shown.</w:t>
      </w:r>
    </w:p>
    <w:p w14:paraId="2EAE827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We would expect to see amounts for ENIDs on QSR210, but in some cases they may be nil or very small thus requiring an explanation.</w:t>
      </w:r>
    </w:p>
    <w:p w14:paraId="77CF17D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We would expect discounting amounts to be shown as a </w:t>
      </w:r>
      <w:r w:rsidR="00AE6D26">
        <w:rPr>
          <w:rFonts w:ascii="Arial" w:hAnsi="Arial" w:cs="Arial"/>
          <w:spacing w:val="-2"/>
          <w:kern w:val="28"/>
          <w:sz w:val="20"/>
          <w:lang w:val="en-GB" w:eastAsia="en-GB"/>
        </w:rPr>
        <w:t>positive</w:t>
      </w:r>
      <w:r w:rsidRPr="00BE75F9">
        <w:rPr>
          <w:rFonts w:ascii="Arial" w:hAnsi="Arial" w:cs="Arial"/>
          <w:spacing w:val="-2"/>
          <w:kern w:val="28"/>
          <w:sz w:val="20"/>
          <w:lang w:val="en-GB" w:eastAsia="en-GB"/>
        </w:rPr>
        <w:t xml:space="preserve"> amount on QSR210 (making the result better); any </w:t>
      </w:r>
      <w:r w:rsidR="00AE6D26">
        <w:rPr>
          <w:rFonts w:ascii="Arial" w:hAnsi="Arial" w:cs="Arial"/>
          <w:spacing w:val="-2"/>
          <w:kern w:val="28"/>
          <w:sz w:val="20"/>
          <w:lang w:val="en-GB" w:eastAsia="en-GB"/>
        </w:rPr>
        <w:t>negative</w:t>
      </w:r>
      <w:r w:rsidRPr="00BE75F9">
        <w:rPr>
          <w:rFonts w:ascii="Arial" w:hAnsi="Arial" w:cs="Arial"/>
          <w:spacing w:val="-2"/>
          <w:kern w:val="28"/>
          <w:sz w:val="20"/>
          <w:lang w:val="en-GB" w:eastAsia="en-GB"/>
        </w:rPr>
        <w:t xml:space="preserve"> amounts should be explained. </w:t>
      </w:r>
    </w:p>
    <w:p w14:paraId="5ED3924A"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change in Solvency II profit commission is not in line with the impact of the Solvency II adjustments on the result.</w:t>
      </w:r>
    </w:p>
    <w:p w14:paraId="759FF76C"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ensure that the Solvency II adjustments on QSR210 Column 1, Line </w:t>
      </w:r>
      <w:r w:rsidR="00876EF4">
        <w:rPr>
          <w:rFonts w:ascii="Arial" w:hAnsi="Arial" w:cs="Arial"/>
          <w:spacing w:val="-2"/>
          <w:kern w:val="28"/>
          <w:sz w:val="20"/>
          <w:lang w:val="en-GB" w:eastAsia="en-GB"/>
        </w:rPr>
        <w:t>15</w:t>
      </w:r>
      <w:r w:rsidRPr="00BE75F9">
        <w:rPr>
          <w:rFonts w:ascii="Arial" w:hAnsi="Arial" w:cs="Arial"/>
          <w:spacing w:val="-2"/>
          <w:kern w:val="28"/>
          <w:sz w:val="20"/>
          <w:lang w:val="en-GB" w:eastAsia="en-GB"/>
        </w:rPr>
        <w:t xml:space="preserve"> reflect those relating to the closing year and that there is an equal and opposite transfer to the reinsuring year on the same line.</w:t>
      </w:r>
    </w:p>
    <w:p w14:paraId="14E3E29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Column 1 Line </w:t>
      </w:r>
      <w:r w:rsidR="00876EF4">
        <w:rPr>
          <w:rFonts w:ascii="Arial" w:hAnsi="Arial" w:cs="Arial"/>
          <w:spacing w:val="-2"/>
          <w:kern w:val="28"/>
          <w:sz w:val="20"/>
          <w:lang w:val="en-GB" w:eastAsia="en-GB"/>
        </w:rPr>
        <w:t>17</w:t>
      </w:r>
      <w:r w:rsidRPr="00BE75F9">
        <w:rPr>
          <w:rFonts w:ascii="Arial" w:hAnsi="Arial" w:cs="Arial"/>
          <w:spacing w:val="-2"/>
          <w:kern w:val="28"/>
          <w:sz w:val="20"/>
          <w:lang w:val="en-GB" w:eastAsia="en-GB"/>
        </w:rPr>
        <w:t xml:space="preserve"> (total adjustments) is expected to be nil.   </w:t>
      </w:r>
    </w:p>
    <w:p w14:paraId="0577CA18" w14:textId="77777777" w:rsidR="00BE75F9" w:rsidRPr="009C32A0" w:rsidRDefault="00BE75F9" w:rsidP="009C32A0">
      <w:pPr>
        <w:spacing w:before="120" w:line="280" w:lineRule="atLeast"/>
        <w:ind w:left="720"/>
        <w:rPr>
          <w:rFonts w:ascii="Arial" w:hAnsi="Arial" w:cs="Arial"/>
        </w:rPr>
      </w:pPr>
      <w:r w:rsidRPr="009C32A0">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5F90A008" w14:textId="77777777" w:rsidR="00BE75F9" w:rsidRPr="009C32A0" w:rsidRDefault="004A1C88" w:rsidP="009C32A0">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bookmarkStart w:id="1714" w:name="_Toc299549533"/>
      <w:bookmarkStart w:id="1715" w:name="_Toc352675372"/>
    </w:p>
    <w:p w14:paraId="4A583E47" w14:textId="77777777" w:rsidR="004A1C88" w:rsidRDefault="004A1C88" w:rsidP="00BE75F9">
      <w:pPr>
        <w:pStyle w:val="Heading1"/>
        <w:keepNext w:val="0"/>
        <w:numPr>
          <w:ilvl w:val="0"/>
          <w:numId w:val="0"/>
        </w:numPr>
        <w:tabs>
          <w:tab w:val="clear" w:pos="85"/>
          <w:tab w:val="right" w:pos="5897"/>
        </w:tabs>
        <w:spacing w:after="120" w:line="280" w:lineRule="atLeast"/>
        <w:ind w:left="720" w:hanging="720"/>
      </w:pPr>
      <w:r>
        <w:br w:type="page"/>
      </w:r>
    </w:p>
    <w:p w14:paraId="365A0ECC" w14:textId="77777777"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lastRenderedPageBreak/>
        <w:t xml:space="preserve">Section </w:t>
      </w:r>
      <w:r>
        <w:rPr>
          <w:color w:val="DECC12"/>
        </w:rPr>
        <w:t>3</w:t>
      </w:r>
      <w:r w:rsidRPr="002A0B42">
        <w:rPr>
          <w:color w:val="DECC12"/>
        </w:rPr>
        <w:t xml:space="preserve">: form instructions for </w:t>
      </w:r>
      <w:bookmarkEnd w:id="1713"/>
      <w:bookmarkEnd w:id="1714"/>
      <w:bookmarkEnd w:id="1715"/>
      <w:r w:rsidR="008B63B7">
        <w:rPr>
          <w:color w:val="DECC12"/>
        </w:rPr>
        <w:t>Quarterly Solvency Return (</w:t>
      </w:r>
      <w:r w:rsidR="003F303D">
        <w:rPr>
          <w:color w:val="DECC12"/>
        </w:rPr>
        <w:t>QSR</w:t>
      </w:r>
      <w:r w:rsidR="008B63B7">
        <w:rPr>
          <w:color w:val="DECC12"/>
        </w:rPr>
        <w:t>)</w:t>
      </w:r>
    </w:p>
    <w:p w14:paraId="37F67C41" w14:textId="77777777" w:rsidR="004A1C88" w:rsidRPr="00FD257A" w:rsidRDefault="004A1C88" w:rsidP="0036277B">
      <w:pPr>
        <w:pStyle w:val="LloydsH3"/>
        <w:numPr>
          <w:ilvl w:val="1"/>
          <w:numId w:val="14"/>
        </w:numPr>
        <w:spacing w:before="120" w:after="120" w:line="280" w:lineRule="atLeast"/>
      </w:pPr>
      <w:bookmarkStart w:id="1716" w:name="_Toc278875009"/>
      <w:bookmarkStart w:id="1717" w:name="_Toc299549535"/>
      <w:bookmarkStart w:id="1718" w:name="_Toc343003008"/>
      <w:bookmarkStart w:id="1719" w:name="_Toc352675373"/>
      <w:r>
        <w:t xml:space="preserve">QSR </w:t>
      </w:r>
      <w:r w:rsidRPr="00FD257A">
        <w:t>010</w:t>
      </w:r>
      <w:r>
        <w:t>:</w:t>
      </w:r>
      <w:r w:rsidRPr="00FD257A">
        <w:t xml:space="preserve"> Control page</w:t>
      </w:r>
      <w:bookmarkEnd w:id="1716"/>
      <w:bookmarkEnd w:id="1717"/>
      <w:bookmarkEnd w:id="1718"/>
      <w:bookmarkEnd w:id="1719"/>
    </w:p>
    <w:p w14:paraId="0609A2C8"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3AB68BFA"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0824CDF1"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06FD3B0B"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3BCEDA15"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AB30DC">
        <w:rPr>
          <w:rFonts w:ascii="Arial" w:hAnsi="Arial" w:cs="Arial"/>
        </w:rPr>
        <w:t>Central Finance</w:t>
      </w:r>
      <w:r w:rsidRPr="00247C18">
        <w:rPr>
          <w:rFonts w:ascii="Arial" w:hAnsi="Arial" w:cs="Arial"/>
        </w:rPr>
        <w:t xml:space="preserve"> via </w:t>
      </w:r>
      <w:hyperlink r:id="rId28"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09911D3E" w14:textId="77777777" w:rsidR="00CD2AB9" w:rsidRDefault="00CD2AB9"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F1B7D30" w14:textId="77777777" w:rsidR="00A37CA6" w:rsidRDefault="00A37CA6" w:rsidP="00A37CA6">
      <w:pPr>
        <w:pStyle w:val="LloydsH3"/>
        <w:numPr>
          <w:ilvl w:val="1"/>
          <w:numId w:val="14"/>
        </w:numPr>
        <w:spacing w:after="120" w:line="280" w:lineRule="atLeast"/>
      </w:pPr>
      <w:bookmarkStart w:id="1720" w:name="_Toc346004446"/>
      <w:bookmarkStart w:id="1721" w:name="_Toc346092662"/>
      <w:bookmarkStart w:id="1722" w:name="_Toc346099752"/>
      <w:bookmarkStart w:id="1723" w:name="_Toc346099932"/>
      <w:bookmarkStart w:id="1724" w:name="_Toc346100056"/>
      <w:bookmarkStart w:id="1725" w:name="_Toc346100159"/>
      <w:bookmarkStart w:id="1726" w:name="_Toc346100262"/>
      <w:bookmarkStart w:id="1727" w:name="_Toc346118569"/>
      <w:bookmarkStart w:id="1728" w:name="_Toc346193845"/>
      <w:bookmarkStart w:id="1729" w:name="_Toc346269060"/>
      <w:bookmarkStart w:id="1730" w:name="_Toc346528051"/>
      <w:bookmarkStart w:id="1731" w:name="_Toc346541179"/>
      <w:bookmarkStart w:id="1732" w:name="_Toc346628689"/>
      <w:bookmarkStart w:id="1733" w:name="_Toc346635596"/>
      <w:bookmarkStart w:id="1734" w:name="_Toc346705522"/>
      <w:bookmarkStart w:id="1735" w:name="_Toc346801704"/>
      <w:bookmarkStart w:id="1736" w:name="_Toc346801831"/>
      <w:bookmarkStart w:id="1737" w:name="_Toc346801956"/>
      <w:bookmarkStart w:id="1738" w:name="_Toc346869421"/>
      <w:bookmarkStart w:id="1739" w:name="_Toc346886800"/>
      <w:bookmarkStart w:id="1740" w:name="_Toc346893465"/>
      <w:bookmarkStart w:id="1741" w:name="_Toc346896594"/>
      <w:bookmarkStart w:id="1742" w:name="_Toc347127761"/>
      <w:bookmarkStart w:id="1743" w:name="_Toc347131454"/>
      <w:bookmarkStart w:id="1744" w:name="_Toc347133548"/>
      <w:bookmarkStart w:id="1745" w:name="_Toc347135317"/>
      <w:bookmarkStart w:id="1746" w:name="_Toc347138615"/>
      <w:bookmarkStart w:id="1747" w:name="_Toc347152457"/>
      <w:bookmarkStart w:id="1748" w:name="_Toc347152590"/>
      <w:bookmarkStart w:id="1749" w:name="_Toc347152945"/>
      <w:bookmarkStart w:id="1750" w:name="_Toc347214390"/>
      <w:bookmarkStart w:id="1751" w:name="_Toc347303075"/>
      <w:bookmarkStart w:id="1752" w:name="_Toc347387093"/>
      <w:bookmarkStart w:id="1753" w:name="_Toc347477334"/>
      <w:bookmarkStart w:id="1754" w:name="_Toc347492930"/>
      <w:bookmarkStart w:id="1755" w:name="_Toc347494900"/>
      <w:bookmarkStart w:id="1756" w:name="_Toc347501119"/>
      <w:bookmarkStart w:id="1757" w:name="_Toc343610468"/>
      <w:bookmarkStart w:id="1758" w:name="_Toc346004447"/>
      <w:bookmarkStart w:id="1759" w:name="_Toc346092663"/>
      <w:bookmarkStart w:id="1760" w:name="_Toc346099753"/>
      <w:bookmarkStart w:id="1761" w:name="_Toc346099933"/>
      <w:bookmarkStart w:id="1762" w:name="_Toc346100057"/>
      <w:bookmarkStart w:id="1763" w:name="_Toc346100160"/>
      <w:bookmarkStart w:id="1764" w:name="_Toc346100263"/>
      <w:bookmarkStart w:id="1765" w:name="_Toc346118570"/>
      <w:bookmarkStart w:id="1766" w:name="_Toc346193846"/>
      <w:bookmarkStart w:id="1767" w:name="_Toc346269061"/>
      <w:bookmarkStart w:id="1768" w:name="_Toc346528052"/>
      <w:bookmarkStart w:id="1769" w:name="_Toc346541180"/>
      <w:bookmarkStart w:id="1770" w:name="_Toc346628690"/>
      <w:bookmarkStart w:id="1771" w:name="_Toc346635597"/>
      <w:bookmarkStart w:id="1772" w:name="_Toc346705523"/>
      <w:bookmarkStart w:id="1773" w:name="_Toc346801705"/>
      <w:bookmarkStart w:id="1774" w:name="_Toc346801832"/>
      <w:bookmarkStart w:id="1775" w:name="_Toc346801957"/>
      <w:bookmarkStart w:id="1776" w:name="_Toc346869422"/>
      <w:bookmarkStart w:id="1777" w:name="_Toc346886801"/>
      <w:bookmarkStart w:id="1778" w:name="_Toc346893466"/>
      <w:bookmarkStart w:id="1779" w:name="_Toc346896595"/>
      <w:bookmarkStart w:id="1780" w:name="_Toc347127762"/>
      <w:bookmarkStart w:id="1781" w:name="_Toc347131455"/>
      <w:bookmarkStart w:id="1782" w:name="_Toc347133549"/>
      <w:bookmarkStart w:id="1783" w:name="_Toc347135318"/>
      <w:bookmarkStart w:id="1784" w:name="_Toc347138616"/>
      <w:bookmarkStart w:id="1785" w:name="_Toc347152458"/>
      <w:bookmarkStart w:id="1786" w:name="_Toc347152591"/>
      <w:bookmarkStart w:id="1787" w:name="_Toc347152946"/>
      <w:bookmarkStart w:id="1788" w:name="_Toc347214391"/>
      <w:bookmarkStart w:id="1789" w:name="_Toc347303076"/>
      <w:bookmarkStart w:id="1790" w:name="_Toc347387094"/>
      <w:bookmarkStart w:id="1791" w:name="_Toc347477335"/>
      <w:bookmarkStart w:id="1792" w:name="_Toc347492931"/>
      <w:bookmarkStart w:id="1793" w:name="_Toc347494901"/>
      <w:bookmarkStart w:id="1794" w:name="_Toc347501120"/>
      <w:bookmarkStart w:id="1795" w:name="_Toc278875010"/>
      <w:bookmarkStart w:id="1796" w:name="_Toc299549536"/>
      <w:bookmarkStart w:id="1797" w:name="_Toc343003009"/>
      <w:bookmarkStart w:id="1798" w:name="_Toc352675377"/>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r>
        <w:t xml:space="preserve">QSR 030: </w:t>
      </w:r>
      <w:r w:rsidRPr="00A37CA6">
        <w:t>Basic Information - General (S.01.02.01)</w:t>
      </w:r>
    </w:p>
    <w:p w14:paraId="7C9E4D9C"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 basic information regarding the syndicate</w:t>
      </w:r>
      <w:r>
        <w:rPr>
          <w:rFonts w:ascii="Arial" w:hAnsi="Arial" w:cs="Arial"/>
          <w:i/>
          <w:color w:val="000000"/>
        </w:rPr>
        <w:t xml:space="preserve"> which is needed to be included in the syndicate level Pillar 3 submissions made to the PRA.</w:t>
      </w:r>
    </w:p>
    <w:p w14:paraId="60145C32" w14:textId="77777777" w:rsidR="00A37CA6"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030 </w:t>
      </w:r>
      <w:r w:rsidRPr="0071456A">
        <w:rPr>
          <w:b w:val="0"/>
          <w:sz w:val="20"/>
        </w:rPr>
        <w:t>specification for detailed instruction</w:t>
      </w:r>
      <w:r w:rsidR="00591056">
        <w:rPr>
          <w:b w:val="0"/>
          <w:sz w:val="20"/>
        </w:rPr>
        <w:t>s</w:t>
      </w:r>
      <w:r w:rsidRPr="0071456A">
        <w:rPr>
          <w:b w:val="0"/>
          <w:sz w:val="20"/>
        </w:rPr>
        <w:t>.</w:t>
      </w:r>
      <w:r w:rsidR="00052747">
        <w:rPr>
          <w:b w:val="0"/>
          <w:sz w:val="20"/>
        </w:rPr>
        <w:t xml:space="preserve">  Please note </w:t>
      </w:r>
      <w:r w:rsidR="003720F6">
        <w:rPr>
          <w:b w:val="0"/>
          <w:sz w:val="20"/>
        </w:rPr>
        <w:t xml:space="preserve">that an </w:t>
      </w:r>
      <w:r w:rsidR="00052747">
        <w:rPr>
          <w:b w:val="0"/>
          <w:sz w:val="20"/>
        </w:rPr>
        <w:t>addition</w:t>
      </w:r>
      <w:r w:rsidR="003720F6">
        <w:rPr>
          <w:b w:val="0"/>
          <w:sz w:val="20"/>
        </w:rPr>
        <w:t>al</w:t>
      </w:r>
      <w:r w:rsidR="00052747">
        <w:rPr>
          <w:b w:val="0"/>
          <w:sz w:val="20"/>
        </w:rPr>
        <w:t xml:space="preserve"> line R0250 </w:t>
      </w:r>
      <w:r w:rsidR="003720F6">
        <w:rPr>
          <w:b w:val="0"/>
          <w:sz w:val="20"/>
        </w:rPr>
        <w:t xml:space="preserve">has been included </w:t>
      </w:r>
      <w:r w:rsidR="00052747">
        <w:rPr>
          <w:b w:val="0"/>
          <w:sz w:val="20"/>
        </w:rPr>
        <w:t>for completion.</w:t>
      </w:r>
    </w:p>
    <w:p w14:paraId="0821D431" w14:textId="77777777" w:rsidR="0071456A" w:rsidRPr="0071456A" w:rsidRDefault="0071456A" w:rsidP="0071456A">
      <w:pPr>
        <w:pStyle w:val="LloydsH3"/>
        <w:numPr>
          <w:ilvl w:val="0"/>
          <w:numId w:val="0"/>
        </w:numPr>
        <w:spacing w:after="120" w:line="280" w:lineRule="atLeast"/>
        <w:rPr>
          <w:b w:val="0"/>
          <w:sz w:val="20"/>
        </w:rPr>
      </w:pPr>
    </w:p>
    <w:p w14:paraId="14D6101B" w14:textId="77777777" w:rsidR="00705AD7" w:rsidRDefault="00A37CA6" w:rsidP="0071456A">
      <w:pPr>
        <w:pStyle w:val="LloydsH3"/>
        <w:numPr>
          <w:ilvl w:val="1"/>
          <w:numId w:val="14"/>
        </w:numPr>
        <w:tabs>
          <w:tab w:val="clear" w:pos="85"/>
          <w:tab w:val="left" w:pos="0"/>
        </w:tabs>
        <w:spacing w:after="120" w:line="280" w:lineRule="atLeast"/>
      </w:pPr>
      <w:r>
        <w:t>QSR031:</w:t>
      </w:r>
      <w:r w:rsidRPr="00A37CA6">
        <w:t xml:space="preserve"> Quantitative Reporting Templates (S.01.01.02)</w:t>
      </w:r>
    </w:p>
    <w:p w14:paraId="7334870A"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w:t>
      </w:r>
      <w:r>
        <w:rPr>
          <w:rFonts w:ascii="Arial" w:hAnsi="Arial" w:cs="Arial"/>
          <w:i/>
          <w:color w:val="000000"/>
        </w:rPr>
        <w:t xml:space="preserve"> details about which EIOPA templates (and their QSR/QAD equivalents) have been completed for the syndicate.  This </w:t>
      </w:r>
      <w:r w:rsidRPr="006F71C2">
        <w:rPr>
          <w:rFonts w:ascii="Arial" w:hAnsi="Arial" w:cs="Arial"/>
          <w:i/>
          <w:color w:val="000000"/>
        </w:rPr>
        <w:t>is needed to be included in the syndicate level Pillar 3 submissions made to the PRA.</w:t>
      </w:r>
    </w:p>
    <w:p w14:paraId="412D836B" w14:textId="77777777" w:rsidR="00A37CA6" w:rsidRPr="0071456A"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031 </w:t>
      </w:r>
      <w:r w:rsidRPr="0071456A">
        <w:rPr>
          <w:b w:val="0"/>
          <w:sz w:val="20"/>
        </w:rPr>
        <w:t>specification for detailed instruction</w:t>
      </w:r>
      <w:r w:rsidR="00591056">
        <w:rPr>
          <w:b w:val="0"/>
          <w:sz w:val="20"/>
        </w:rPr>
        <w:t>s</w:t>
      </w:r>
      <w:r w:rsidRPr="0071456A">
        <w:rPr>
          <w:b w:val="0"/>
          <w:sz w:val="20"/>
        </w:rPr>
        <w:t>.</w:t>
      </w:r>
    </w:p>
    <w:p w14:paraId="0A177239" w14:textId="77777777" w:rsidR="00A37CA6" w:rsidRDefault="00A37CA6" w:rsidP="0071456A">
      <w:pPr>
        <w:pStyle w:val="LloydsH3"/>
        <w:numPr>
          <w:ilvl w:val="0"/>
          <w:numId w:val="0"/>
        </w:numPr>
        <w:spacing w:after="120" w:line="280" w:lineRule="atLeast"/>
        <w:rPr>
          <w:b w:val="0"/>
        </w:rPr>
      </w:pPr>
    </w:p>
    <w:p w14:paraId="408599B9" w14:textId="77777777" w:rsidR="004A1C88" w:rsidRPr="00EB4FE8" w:rsidRDefault="00EB4FE8" w:rsidP="00EB4FE8">
      <w:pPr>
        <w:pStyle w:val="LloydsH3"/>
        <w:numPr>
          <w:ilvl w:val="0"/>
          <w:numId w:val="0"/>
        </w:numPr>
        <w:spacing w:after="120" w:line="280" w:lineRule="atLeast"/>
      </w:pPr>
      <w:r w:rsidRPr="00EB4FE8">
        <w:t>3.4</w:t>
      </w:r>
      <w:r w:rsidRPr="00EB4FE8">
        <w:tab/>
        <w:t>Q</w:t>
      </w:r>
      <w:r w:rsidR="004A1C88" w:rsidRPr="00EB4FE8">
        <w:t>SR 002: Overall Balance Sheet</w:t>
      </w:r>
      <w:bookmarkEnd w:id="1795"/>
      <w:bookmarkEnd w:id="1796"/>
      <w:bookmarkEnd w:id="1797"/>
      <w:bookmarkEnd w:id="1798"/>
      <w:r w:rsidR="00B10075">
        <w:t xml:space="preserve"> (S.02.01.02)</w:t>
      </w:r>
    </w:p>
    <w:p w14:paraId="60671DB4" w14:textId="77777777" w:rsidR="004A1C88" w:rsidRPr="00EA6E11" w:rsidRDefault="004A1C88" w:rsidP="00FA65FA">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themeColor="text1"/>
        </w:rPr>
      </w:pPr>
      <w:r w:rsidRPr="00D06250">
        <w:rPr>
          <w:rFonts w:ascii="Arial" w:hAnsi="Arial" w:cs="Arial"/>
          <w:b/>
          <w:color w:val="DECC08"/>
          <w:spacing w:val="-20"/>
        </w:rPr>
        <w:t>Purpose of form:</w:t>
      </w:r>
      <w:r w:rsidRPr="00247C18">
        <w:rPr>
          <w:rFonts w:ascii="Sansa Lloyds" w:hAnsi="Sansa Lloyds" w:cs="Arial"/>
          <w:i/>
        </w:rPr>
        <w:t xml:space="preserve"> </w:t>
      </w:r>
      <w:r w:rsidRPr="00EA6E11">
        <w:rPr>
          <w:rFonts w:ascii="Arial" w:hAnsi="Arial" w:cs="Arial"/>
          <w:i/>
          <w:color w:val="000000" w:themeColor="text1"/>
        </w:rPr>
        <w:t>This form presents an overall view of the balance sheet of the syndicate under Solvency II valuation rules.</w:t>
      </w:r>
      <w:r w:rsidR="000E062E" w:rsidRPr="00EA6E11">
        <w:rPr>
          <w:rFonts w:ascii="Arial" w:hAnsi="Arial" w:cs="Arial"/>
          <w:i/>
          <w:color w:val="000000" w:themeColor="text1"/>
        </w:rPr>
        <w:t xml:space="preserve">  The analysis of the Solvency II result by reporting year is used in the quarterly members’ solvency test and the calculation of the member level reporting point, required </w:t>
      </w:r>
      <w:r w:rsidR="005E7EA4" w:rsidRPr="00EA6E11">
        <w:rPr>
          <w:rFonts w:ascii="Arial" w:hAnsi="Arial" w:cs="Arial"/>
          <w:i/>
          <w:color w:val="000000" w:themeColor="text1"/>
        </w:rPr>
        <w:t>under</w:t>
      </w:r>
      <w:r w:rsidR="000E062E" w:rsidRPr="00EA6E11">
        <w:rPr>
          <w:rFonts w:ascii="Arial" w:hAnsi="Arial" w:cs="Arial"/>
          <w:i/>
          <w:color w:val="000000" w:themeColor="text1"/>
        </w:rPr>
        <w:t xml:space="preserve"> Solvency II</w:t>
      </w:r>
      <w:r w:rsidR="0057365F" w:rsidRPr="00EA6E11">
        <w:rPr>
          <w:rFonts w:ascii="Arial" w:hAnsi="Arial" w:cs="Arial"/>
          <w:i/>
          <w:color w:val="000000" w:themeColor="text1"/>
        </w:rPr>
        <w:t>, as well as for Lloyd’s member level capital tests</w:t>
      </w:r>
      <w:r w:rsidR="005E7EA4" w:rsidRPr="00EA6E11">
        <w:rPr>
          <w:rFonts w:ascii="Arial" w:hAnsi="Arial" w:cs="Arial"/>
          <w:i/>
          <w:color w:val="000000" w:themeColor="text1"/>
        </w:rPr>
        <w:t>.</w:t>
      </w:r>
    </w:p>
    <w:p w14:paraId="6EEB77E0"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w:t>
      </w:r>
      <w:r w:rsidR="0057365F" w:rsidRPr="00EA6E11">
        <w:rPr>
          <w:rFonts w:ascii="Arial" w:hAnsi="Arial" w:cs="Arial"/>
          <w:color w:val="000000" w:themeColor="text1"/>
        </w:rPr>
        <w:t xml:space="preserve"> with a breakdown of the result by reporting year on line 90.</w:t>
      </w:r>
    </w:p>
    <w:p w14:paraId="5A62C562" w14:textId="77777777" w:rsidR="00EA6E11" w:rsidRPr="00EA6E11" w:rsidRDefault="00EA6E11"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p>
    <w:p w14:paraId="1A3B27EE" w14:textId="77777777" w:rsidR="00B8411C" w:rsidRDefault="00B8411C"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A779B71" w14:textId="77777777" w:rsidR="006333FE" w:rsidRDefault="006333FE"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99330EB" w14:textId="77777777" w:rsidR="001F26D4" w:rsidRDefault="001F26D4"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EC86C4D" w14:textId="77777777" w:rsidR="004A1C88" w:rsidRPr="001F26D4" w:rsidRDefault="005B00D1" w:rsidP="008B52A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b/>
        </w:rPr>
      </w:pPr>
      <w:bookmarkStart w:id="1799" w:name="_Toc360114648"/>
      <w:bookmarkStart w:id="1800" w:name="_Toc360114704"/>
      <w:bookmarkStart w:id="1801" w:name="_Toc360114751"/>
      <w:bookmarkStart w:id="1802" w:name="_Toc360114871"/>
      <w:bookmarkStart w:id="1803" w:name="_Toc360799784"/>
      <w:bookmarkStart w:id="1804" w:name="_Toc360799881"/>
      <w:bookmarkStart w:id="1805" w:name="_Toc360803078"/>
      <w:bookmarkStart w:id="1806" w:name="_Toc360803139"/>
      <w:bookmarkStart w:id="1807" w:name="_Toc360804050"/>
      <w:bookmarkStart w:id="1808" w:name="_Toc360804105"/>
      <w:bookmarkStart w:id="1809" w:name="_Toc360804159"/>
      <w:bookmarkStart w:id="1810" w:name="_Toc360806450"/>
      <w:bookmarkStart w:id="1811" w:name="_Toc360806505"/>
      <w:bookmarkStart w:id="1812" w:name="_Toc361042439"/>
      <w:bookmarkStart w:id="1813" w:name="_Toc361042753"/>
      <w:bookmarkStart w:id="1814" w:name="_Toc361043085"/>
      <w:bookmarkStart w:id="1815" w:name="_Toc361043195"/>
      <w:bookmarkStart w:id="1816" w:name="_Toc361043518"/>
      <w:bookmarkStart w:id="1817" w:name="_Toc361043844"/>
      <w:bookmarkStart w:id="1818" w:name="_Toc361045670"/>
      <w:bookmarkStart w:id="1819" w:name="_Toc361054326"/>
      <w:bookmarkStart w:id="1820" w:name="_Toc361054849"/>
      <w:bookmarkStart w:id="1821" w:name="_Toc361055009"/>
      <w:bookmarkStart w:id="1822" w:name="_Toc361057940"/>
      <w:bookmarkStart w:id="1823" w:name="_Toc361059957"/>
      <w:bookmarkStart w:id="1824" w:name="_Toc361060052"/>
      <w:bookmarkStart w:id="1825" w:name="_Toc361060147"/>
      <w:bookmarkStart w:id="1826" w:name="_Toc361067793"/>
      <w:bookmarkStart w:id="1827" w:name="_Toc368559905"/>
      <w:bookmarkStart w:id="1828" w:name="_Toc368559977"/>
      <w:bookmarkStart w:id="1829" w:name="_Toc368560177"/>
      <w:bookmarkStart w:id="1830" w:name="_Toc368646611"/>
      <w:bookmarkStart w:id="1831" w:name="_Toc368646830"/>
      <w:bookmarkStart w:id="1832" w:name="_Toc368666927"/>
      <w:bookmarkStart w:id="1833" w:name="_Toc368667274"/>
      <w:bookmarkStart w:id="1834" w:name="_Toc368668276"/>
      <w:bookmarkStart w:id="1835" w:name="_Toc368908758"/>
      <w:bookmarkStart w:id="1836" w:name="_Toc368928911"/>
      <w:bookmarkStart w:id="1837" w:name="_Toc368929029"/>
      <w:bookmarkStart w:id="1838" w:name="_Toc368991391"/>
      <w:bookmarkStart w:id="1839" w:name="_Toc368991477"/>
      <w:bookmarkStart w:id="1840" w:name="_Toc368995669"/>
      <w:bookmarkStart w:id="1841" w:name="_Toc368996438"/>
      <w:bookmarkStart w:id="1842" w:name="_Toc369012873"/>
      <w:bookmarkStart w:id="1843" w:name="_Toc369079439"/>
      <w:bookmarkStart w:id="1844" w:name="_Toc369095889"/>
      <w:bookmarkStart w:id="1845" w:name="_Toc369097712"/>
      <w:bookmarkStart w:id="1846" w:name="_Toc369079451"/>
      <w:bookmarkStart w:id="1847" w:name="_Toc369095901"/>
      <w:bookmarkStart w:id="1848" w:name="_Toc369097724"/>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r w:rsidRPr="001F26D4">
        <w:rPr>
          <w:rFonts w:ascii="Arial" w:hAnsi="Arial" w:cs="Arial"/>
          <w:b/>
        </w:rPr>
        <w:t>Overall approach</w:t>
      </w:r>
      <w:r w:rsidR="004A7BE4" w:rsidRPr="001F26D4">
        <w:rPr>
          <w:rFonts w:ascii="Arial" w:hAnsi="Arial" w:cs="Arial"/>
          <w:b/>
        </w:rPr>
        <w:t xml:space="preserve"> – basis of completion of QSR002</w:t>
      </w:r>
    </w:p>
    <w:p w14:paraId="19EFCA60" w14:textId="3C5C2F0E" w:rsidR="0057365F" w:rsidRPr="001F26D4" w:rsidRDefault="00075BCA" w:rsidP="008B52A1">
      <w:pPr>
        <w:spacing w:after="120" w:line="276" w:lineRule="auto"/>
        <w:rPr>
          <w:rFonts w:ascii="Arial" w:hAnsi="Arial" w:cs="Arial"/>
          <w:bCs/>
          <w:u w:val="single"/>
          <w:lang w:val="en-US"/>
        </w:rPr>
      </w:pPr>
      <w:r w:rsidRPr="001F26D4">
        <w:rPr>
          <w:rFonts w:ascii="Arial" w:hAnsi="Arial" w:cs="Arial"/>
          <w:bCs/>
          <w:u w:val="single"/>
          <w:lang w:val="en-US"/>
        </w:rPr>
        <w:t>UK GAAP amounts – Column A</w:t>
      </w:r>
    </w:p>
    <w:p w14:paraId="1F3376DB" w14:textId="772D8B32" w:rsidR="00075BCA" w:rsidRPr="001F26D4" w:rsidRDefault="00075BCA" w:rsidP="008B52A1">
      <w:pPr>
        <w:spacing w:before="120" w:line="276" w:lineRule="auto"/>
        <w:rPr>
          <w:rFonts w:ascii="Arial" w:hAnsi="Arial" w:cs="Arial"/>
        </w:rPr>
      </w:pPr>
      <w:r w:rsidRPr="001F26D4">
        <w:rPr>
          <w:rFonts w:ascii="Arial" w:hAnsi="Arial" w:cs="Arial"/>
        </w:rPr>
        <w:t>Column A must be completed in accordance with the UK GAAP balance sheet</w:t>
      </w:r>
      <w:r w:rsidR="0006731D">
        <w:rPr>
          <w:rFonts w:ascii="Arial" w:hAnsi="Arial" w:cs="Arial"/>
        </w:rPr>
        <w:t xml:space="preserve">. </w:t>
      </w:r>
      <w:r w:rsidR="00143316">
        <w:rPr>
          <w:rFonts w:ascii="Arial" w:hAnsi="Arial" w:cs="Arial"/>
        </w:rPr>
        <w:t xml:space="preserve">Noting that the QMA </w:t>
      </w:r>
      <w:r w:rsidR="00B55FEB">
        <w:rPr>
          <w:rFonts w:ascii="Arial" w:hAnsi="Arial" w:cs="Arial"/>
        </w:rPr>
        <w:t>is no longer produced,</w:t>
      </w:r>
      <w:r w:rsidR="00143316">
        <w:rPr>
          <w:rFonts w:ascii="Arial" w:hAnsi="Arial" w:cs="Arial"/>
        </w:rPr>
        <w:t xml:space="preserve"> </w:t>
      </w:r>
      <w:r w:rsidR="00B55FEB">
        <w:rPr>
          <w:rFonts w:ascii="Arial" w:hAnsi="Arial" w:cs="Arial"/>
        </w:rPr>
        <w:t>i</w:t>
      </w:r>
      <w:r w:rsidR="00BE2655">
        <w:rPr>
          <w:rFonts w:ascii="Arial" w:hAnsi="Arial" w:cs="Arial"/>
        </w:rPr>
        <w:t xml:space="preserve">t is expected that </w:t>
      </w:r>
      <w:r w:rsidR="00817CB0">
        <w:rPr>
          <w:rFonts w:ascii="Arial" w:hAnsi="Arial" w:cs="Arial"/>
        </w:rPr>
        <w:t>t</w:t>
      </w:r>
      <w:r w:rsidR="006F2084">
        <w:rPr>
          <w:rFonts w:ascii="Arial" w:hAnsi="Arial" w:cs="Arial"/>
        </w:rPr>
        <w:t xml:space="preserve">he </w:t>
      </w:r>
      <w:r w:rsidR="007B3AB7">
        <w:rPr>
          <w:rFonts w:ascii="Arial" w:hAnsi="Arial" w:cs="Arial"/>
        </w:rPr>
        <w:t xml:space="preserve">underlying mapping from </w:t>
      </w:r>
      <w:r w:rsidR="008C621C">
        <w:rPr>
          <w:rFonts w:ascii="Arial" w:hAnsi="Arial" w:cs="Arial"/>
        </w:rPr>
        <w:t>UK</w:t>
      </w:r>
      <w:r w:rsidR="001E5D71">
        <w:rPr>
          <w:rFonts w:ascii="Arial" w:hAnsi="Arial" w:cs="Arial"/>
        </w:rPr>
        <w:t xml:space="preserve"> </w:t>
      </w:r>
      <w:r w:rsidR="008C621C">
        <w:rPr>
          <w:rFonts w:ascii="Arial" w:hAnsi="Arial" w:cs="Arial"/>
        </w:rPr>
        <w:t xml:space="preserve">GAAP accounting ledgers </w:t>
      </w:r>
      <w:r w:rsidR="00817CB0">
        <w:rPr>
          <w:rFonts w:ascii="Arial" w:hAnsi="Arial" w:cs="Arial"/>
        </w:rPr>
        <w:t xml:space="preserve">should remain </w:t>
      </w:r>
      <w:r w:rsidR="00B55FEB">
        <w:rPr>
          <w:rFonts w:ascii="Arial" w:hAnsi="Arial" w:cs="Arial"/>
        </w:rPr>
        <w:t xml:space="preserve">consistent </w:t>
      </w:r>
      <w:r w:rsidR="00817CB0">
        <w:rPr>
          <w:rFonts w:ascii="Arial" w:hAnsi="Arial" w:cs="Arial"/>
        </w:rPr>
        <w:t xml:space="preserve">with </w:t>
      </w:r>
      <w:r w:rsidR="008C621C">
        <w:rPr>
          <w:rFonts w:ascii="Arial" w:hAnsi="Arial" w:cs="Arial"/>
        </w:rPr>
        <w:t>prior reporting</w:t>
      </w:r>
      <w:r w:rsidR="00B55FEB">
        <w:rPr>
          <w:rFonts w:ascii="Arial" w:hAnsi="Arial" w:cs="Arial"/>
        </w:rPr>
        <w:t xml:space="preserve"> </w:t>
      </w:r>
      <w:r w:rsidR="00EB28EE">
        <w:rPr>
          <w:rFonts w:ascii="Arial" w:hAnsi="Arial" w:cs="Arial"/>
        </w:rPr>
        <w:t>where appropriate.</w:t>
      </w:r>
      <w:r w:rsidR="00B333E1">
        <w:rPr>
          <w:rFonts w:ascii="Arial" w:hAnsi="Arial" w:cs="Arial"/>
        </w:rPr>
        <w:t xml:space="preserve"> </w:t>
      </w:r>
    </w:p>
    <w:p w14:paraId="146368F5" w14:textId="77777777" w:rsidR="001F26D4" w:rsidRDefault="001F26D4" w:rsidP="001F26D4">
      <w:pPr>
        <w:spacing w:after="120" w:line="280" w:lineRule="atLeast"/>
        <w:rPr>
          <w:rFonts w:ascii="Arial" w:hAnsi="Arial" w:cs="Arial"/>
          <w:spacing w:val="-2"/>
          <w:kern w:val="28"/>
        </w:rPr>
      </w:pPr>
    </w:p>
    <w:p w14:paraId="03931BE0" w14:textId="77777777" w:rsidR="0057365F" w:rsidRPr="00EA6E11" w:rsidRDefault="004A7BE4"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3DA10983" w14:textId="77777777" w:rsidR="004A7BE4" w:rsidRPr="00EA6E11" w:rsidRDefault="004A7BE4" w:rsidP="009F2B25">
      <w:pPr>
        <w:rPr>
          <w:rFonts w:ascii="Arial" w:hAnsi="Arial" w:cs="Arial"/>
          <w:color w:val="000000" w:themeColor="text1"/>
        </w:rPr>
      </w:pPr>
      <w:r w:rsidRPr="00EA6E11">
        <w:rPr>
          <w:rFonts w:ascii="Arial" w:hAnsi="Arial" w:cs="Arial"/>
          <w:color w:val="000000" w:themeColor="text1"/>
          <w:lang w:val="en-US"/>
        </w:rPr>
        <w:t>Column C must report the Solvency II valuation for each line as specified in these instructions.  Accordingly</w:t>
      </w:r>
      <w:r w:rsidR="00AB30DC">
        <w:rPr>
          <w:rFonts w:ascii="Arial" w:hAnsi="Arial" w:cs="Arial"/>
          <w:color w:val="000000" w:themeColor="text1"/>
          <w:lang w:val="en-US"/>
        </w:rPr>
        <w:t>,</w:t>
      </w:r>
      <w:r w:rsidRPr="00EA6E11">
        <w:rPr>
          <w:rFonts w:ascii="Arial" w:hAnsi="Arial" w:cs="Arial"/>
          <w:color w:val="000000" w:themeColor="text1"/>
          <w:lang w:val="en-US"/>
        </w:rPr>
        <w:t xml:space="preserve"> the adjustment between the UK GAAP and Solvency II valuations must be reported in column B.</w:t>
      </w:r>
    </w:p>
    <w:p w14:paraId="65F6B5B6" w14:textId="77777777" w:rsidR="008B52A1" w:rsidRPr="00EA6E11" w:rsidRDefault="008B52A1" w:rsidP="008B52A1">
      <w:pPr>
        <w:spacing w:after="120" w:line="276" w:lineRule="auto"/>
        <w:rPr>
          <w:rFonts w:ascii="Arial" w:hAnsi="Arial" w:cs="Arial"/>
          <w:bCs/>
          <w:color w:val="000000" w:themeColor="text1"/>
          <w:u w:val="single"/>
          <w:lang w:val="en-US"/>
        </w:rPr>
      </w:pPr>
    </w:p>
    <w:p w14:paraId="44A60020" w14:textId="77777777" w:rsidR="00AC6722" w:rsidRPr="00EA6E11" w:rsidRDefault="00AC6722"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2F5FB2E1" w14:textId="77777777" w:rsidR="00AC6722" w:rsidRPr="00EA6E11" w:rsidRDefault="00AC6722" w:rsidP="008B52A1">
      <w:pPr>
        <w:spacing w:after="12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055E20C2" w14:textId="77777777" w:rsidR="009F2B25" w:rsidRPr="001F26D4" w:rsidRDefault="009F2B25" w:rsidP="00AC6722">
      <w:pPr>
        <w:rPr>
          <w:rFonts w:ascii="Arial" w:hAnsi="Arial" w:cs="Arial"/>
          <w:b/>
        </w:rPr>
      </w:pPr>
    </w:p>
    <w:p w14:paraId="071B5CBD" w14:textId="77777777" w:rsidR="00152C70" w:rsidRPr="001F26D4" w:rsidRDefault="00F74E15" w:rsidP="00AC6722">
      <w:pPr>
        <w:rPr>
          <w:rFonts w:ascii="Arial" w:hAnsi="Arial" w:cs="Arial"/>
          <w:b/>
        </w:rPr>
      </w:pPr>
      <w:r>
        <w:rPr>
          <w:rFonts w:ascii="Arial" w:hAnsi="Arial" w:cs="Arial"/>
          <w:b/>
        </w:rPr>
        <w:t xml:space="preserve">Column C (Solvency II amounts) - </w:t>
      </w:r>
      <w:r w:rsidR="00AC6722" w:rsidRPr="001F26D4">
        <w:rPr>
          <w:rFonts w:ascii="Arial" w:hAnsi="Arial" w:cs="Arial"/>
          <w:b/>
        </w:rPr>
        <w:t>General areas for consideration</w:t>
      </w:r>
    </w:p>
    <w:p w14:paraId="3FC18338" w14:textId="77777777" w:rsidR="001F26D4" w:rsidRPr="001F26D4" w:rsidRDefault="001F26D4" w:rsidP="009F2B25">
      <w:pPr>
        <w:rPr>
          <w:rFonts w:ascii="Arial" w:hAnsi="Arial" w:cs="Arial"/>
          <w:u w:val="single"/>
        </w:rPr>
      </w:pPr>
    </w:p>
    <w:p w14:paraId="7DD3DCE6" w14:textId="77777777" w:rsidR="009F2B25" w:rsidRPr="001F26D4" w:rsidRDefault="00AC6722" w:rsidP="001F26D4">
      <w:pPr>
        <w:spacing w:line="276" w:lineRule="auto"/>
        <w:rPr>
          <w:rFonts w:ascii="Arial" w:hAnsi="Arial" w:cs="Arial"/>
          <w:u w:val="single"/>
        </w:rPr>
      </w:pPr>
      <w:r w:rsidRPr="001F26D4">
        <w:rPr>
          <w:rFonts w:ascii="Arial" w:hAnsi="Arial" w:cs="Arial"/>
          <w:u w:val="single"/>
        </w:rPr>
        <w:t>Asset and liability categories – analysis by CIC table and comparison with QAD230</w:t>
      </w:r>
    </w:p>
    <w:p w14:paraId="43CE506D" w14:textId="77777777" w:rsidR="00AF07DA" w:rsidRDefault="00AF07DA" w:rsidP="00BE75F9">
      <w:pPr>
        <w:spacing w:line="276" w:lineRule="auto"/>
        <w:rPr>
          <w:rFonts w:ascii="Arial" w:hAnsi="Arial" w:cs="Arial"/>
        </w:rPr>
      </w:pPr>
      <w:r w:rsidRPr="001F26D4">
        <w:rPr>
          <w:rFonts w:ascii="Arial" w:hAnsi="Arial" w:cs="Arial"/>
        </w:rPr>
        <w:t xml:space="preserve">Certain asset </w:t>
      </w:r>
      <w:r w:rsidR="005B00D1" w:rsidRPr="001F26D4">
        <w:rPr>
          <w:rFonts w:ascii="Arial" w:hAnsi="Arial" w:cs="Arial"/>
        </w:rPr>
        <w:t xml:space="preserve">and liability </w:t>
      </w:r>
      <w:r w:rsidRPr="001F26D4">
        <w:rPr>
          <w:rFonts w:ascii="Arial" w:hAnsi="Arial" w:cs="Arial"/>
        </w:rPr>
        <w:t>categories must agree to their underlying classification in accordance with the Complementary Identification Code (CIC) Table, attached at Appendix 1.</w:t>
      </w:r>
    </w:p>
    <w:p w14:paraId="5CF03C97" w14:textId="77777777" w:rsidR="00A81051" w:rsidRPr="001F26D4" w:rsidRDefault="00A81051" w:rsidP="00BE75F9">
      <w:pPr>
        <w:spacing w:line="276" w:lineRule="auto"/>
        <w:rPr>
          <w:rFonts w:ascii="Arial" w:hAnsi="Arial" w:cs="Arial"/>
        </w:rPr>
      </w:pPr>
    </w:p>
    <w:p w14:paraId="07514247" w14:textId="77777777" w:rsidR="008B52A1" w:rsidRDefault="009F2B25" w:rsidP="00BE75F9">
      <w:pPr>
        <w:spacing w:line="276" w:lineRule="auto"/>
        <w:rPr>
          <w:rFonts w:ascii="Arial" w:hAnsi="Arial" w:cs="Arial"/>
        </w:rPr>
      </w:pPr>
      <w:r w:rsidRPr="001F26D4">
        <w:rPr>
          <w:rFonts w:ascii="Arial" w:hAnsi="Arial" w:cs="Arial"/>
        </w:rPr>
        <w:t xml:space="preserve">For each syndicate level return, it is </w:t>
      </w:r>
      <w:r w:rsidRPr="001F26D4">
        <w:rPr>
          <w:rFonts w:ascii="Arial" w:hAnsi="Arial" w:cs="Arial"/>
          <w:b/>
        </w:rPr>
        <w:t>essential</w:t>
      </w:r>
      <w:r w:rsidRPr="001F26D4">
        <w:rPr>
          <w:rFonts w:ascii="Arial" w:hAnsi="Arial" w:cs="Arial"/>
        </w:rPr>
        <w:t xml:space="preserve"> in the case of each category of asset reported on QSR002, that the amount reported on QSR002, column C agrees </w:t>
      </w:r>
      <w:r w:rsidRPr="00A81051">
        <w:rPr>
          <w:rFonts w:ascii="Arial" w:hAnsi="Arial" w:cs="Arial"/>
          <w:b/>
        </w:rPr>
        <w:t>exactly</w:t>
      </w:r>
      <w:r w:rsidRPr="001F26D4">
        <w:rPr>
          <w:rFonts w:ascii="Arial" w:hAnsi="Arial" w:cs="Arial"/>
        </w:rPr>
        <w: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t>
      </w:r>
    </w:p>
    <w:p w14:paraId="536853F7" w14:textId="77777777" w:rsidR="001F26D4" w:rsidRDefault="001F26D4" w:rsidP="009F2B25">
      <w:pPr>
        <w:rPr>
          <w:rFonts w:ascii="Arial" w:hAnsi="Arial" w:cs="Arial"/>
        </w:rPr>
      </w:pPr>
    </w:p>
    <w:p w14:paraId="646A1115" w14:textId="77777777" w:rsidR="001F26D4" w:rsidRPr="001F26D4" w:rsidRDefault="001F26D4" w:rsidP="009F2B25">
      <w:pPr>
        <w:rPr>
          <w:rFonts w:ascii="Arial" w:hAnsi="Arial" w:cs="Arial"/>
          <w:u w:val="single"/>
        </w:rPr>
      </w:pPr>
      <w:r w:rsidRPr="001F26D4">
        <w:rPr>
          <w:rFonts w:ascii="Arial" w:hAnsi="Arial" w:cs="Arial"/>
          <w:u w:val="single"/>
        </w:rPr>
        <w:t>Technical provisions</w:t>
      </w:r>
    </w:p>
    <w:p w14:paraId="541E311D" w14:textId="564C2FA3" w:rsidR="001F26D4" w:rsidRDefault="001F26D4" w:rsidP="001F26D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585E5C12">
        <w:rPr>
          <w:rFonts w:ascii="Arial" w:hAnsi="Arial" w:cs="Arial"/>
          <w:color w:val="000000" w:themeColor="text1"/>
        </w:rPr>
        <w:t>Technical provisions should be valued in accordance with</w:t>
      </w:r>
      <w:r w:rsidR="00D2587E" w:rsidRPr="585E5C12">
        <w:rPr>
          <w:rFonts w:ascii="Arial" w:hAnsi="Arial" w:cs="Arial"/>
          <w:color w:val="000000" w:themeColor="text1"/>
        </w:rPr>
        <w:t xml:space="preserve"> the 2024 guidance on technical provisions</w:t>
      </w:r>
      <w:r w:rsidRPr="585E5C12">
        <w:rPr>
          <w:rFonts w:ascii="Arial" w:hAnsi="Arial" w:cs="Arial"/>
          <w:color w:val="000000" w:themeColor="text1"/>
        </w:rPr>
        <w:t>. These instructions can be accessed through the following link</w:t>
      </w:r>
      <w:r w:rsidR="004D186D" w:rsidRPr="585E5C12">
        <w:rPr>
          <w:rFonts w:ascii="Arial" w:hAnsi="Arial" w:cs="Arial"/>
          <w:color w:val="000000" w:themeColor="text1"/>
        </w:rPr>
        <w:t xml:space="preserve">: </w:t>
      </w:r>
      <w:hyperlink r:id="rId29">
        <w:r w:rsidR="004D186D" w:rsidRPr="585E5C12">
          <w:rPr>
            <w:rStyle w:val="Hyperlink"/>
            <w:rFonts w:ascii="NHaasGroteskTXStd-55Rg" w:hAnsi="NHaasGroteskTXStd-55Rg" w:cs="Arial"/>
            <w:sz w:val="21"/>
            <w:szCs w:val="21"/>
          </w:rPr>
          <w:t xml:space="preserve">Lloyds Solvency II Technical Provisions Guidance </w:t>
        </w:r>
        <w:r w:rsidR="006E47CC" w:rsidRPr="585E5C12">
          <w:rPr>
            <w:rStyle w:val="Hyperlink"/>
            <w:rFonts w:ascii="NHaasGroteskTXStd-55Rg" w:hAnsi="NHaasGroteskTXStd-55Rg" w:cs="Arial"/>
            <w:sz w:val="21"/>
            <w:szCs w:val="21"/>
          </w:rPr>
          <w:t>2024</w:t>
        </w:r>
      </w:hyperlink>
      <w:r w:rsidR="004D186D" w:rsidRPr="585E5C12">
        <w:rPr>
          <w:rStyle w:val="Hyperlink"/>
          <w:rFonts w:ascii="Arial" w:hAnsi="Arial" w:cs="Arial"/>
          <w:color w:val="auto"/>
          <w:u w:val="none"/>
        </w:rPr>
        <w:t xml:space="preserve"> </w:t>
      </w:r>
    </w:p>
    <w:p w14:paraId="254F0140" w14:textId="77777777" w:rsidR="001F26D4" w:rsidRDefault="001F26D4" w:rsidP="00A67179">
      <w:pPr>
        <w:spacing w:line="276" w:lineRule="auto"/>
        <w:rPr>
          <w:rFonts w:ascii="Arial" w:hAnsi="Arial" w:cs="Arial"/>
          <w:u w:val="single"/>
        </w:rPr>
      </w:pPr>
    </w:p>
    <w:p w14:paraId="62EFB450" w14:textId="77777777" w:rsidR="00552705" w:rsidRDefault="00552705" w:rsidP="00552705">
      <w:pPr>
        <w:rPr>
          <w:rFonts w:ascii="Arial" w:hAnsi="Arial" w:cs="Arial"/>
          <w:u w:val="single"/>
        </w:rPr>
      </w:pPr>
      <w:r w:rsidRPr="00A90889">
        <w:rPr>
          <w:rFonts w:ascii="Arial" w:hAnsi="Arial" w:cs="Arial"/>
          <w:u w:val="single"/>
        </w:rPr>
        <w:t>Treatment of SPA technical provisions within the Solvency II balance sheet</w:t>
      </w:r>
    </w:p>
    <w:p w14:paraId="20E54685" w14:textId="77777777" w:rsidR="00552705" w:rsidRPr="00A90889" w:rsidRDefault="00552705" w:rsidP="00552705">
      <w:pPr>
        <w:rPr>
          <w:rFonts w:ascii="Arial" w:hAnsi="Arial" w:cs="Arial"/>
          <w:u w:val="single"/>
        </w:rPr>
      </w:pPr>
    </w:p>
    <w:p w14:paraId="16CF0D8C" w14:textId="77777777" w:rsidR="00552705" w:rsidRPr="00A90889" w:rsidRDefault="00552705" w:rsidP="00552705">
      <w:pPr>
        <w:rPr>
          <w:rFonts w:ascii="Arial" w:hAnsi="Arial" w:cs="Arial"/>
        </w:rPr>
      </w:pPr>
      <w:r w:rsidRPr="00A90889">
        <w:rPr>
          <w:rFonts w:ascii="Arial" w:hAnsi="Arial" w:cs="Arial"/>
        </w:rPr>
        <w:t>For the purpose of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t>
      </w:r>
      <w:r w:rsidR="00A90889">
        <w:rPr>
          <w:rFonts w:ascii="Arial" w:hAnsi="Arial" w:cs="Arial"/>
        </w:rPr>
        <w:t>h</w:t>
      </w:r>
      <w:r w:rsidRPr="00A90889">
        <w:rPr>
          <w:rFonts w:ascii="Arial" w:hAnsi="Arial" w:cs="Arial"/>
        </w:rPr>
        <w:t xml:space="preserve">ere these can be explained by the operation of a syndicate. </w:t>
      </w:r>
    </w:p>
    <w:p w14:paraId="2047744D" w14:textId="77777777" w:rsidR="00552705" w:rsidRPr="00A90889" w:rsidRDefault="00552705" w:rsidP="00552705">
      <w:pPr>
        <w:rPr>
          <w:rFonts w:ascii="Arial" w:hAnsi="Arial" w:cs="Arial"/>
        </w:rPr>
      </w:pPr>
    </w:p>
    <w:p w14:paraId="7045698A" w14:textId="77777777" w:rsidR="00552705" w:rsidRPr="00A90889" w:rsidRDefault="00552705" w:rsidP="00552705">
      <w:pPr>
        <w:rPr>
          <w:rFonts w:ascii="Arial" w:hAnsi="Arial" w:cs="Arial"/>
        </w:rPr>
      </w:pPr>
      <w:r w:rsidRPr="00A90889">
        <w:rPr>
          <w:rFonts w:ascii="Arial" w:hAnsi="Arial" w:cs="Arial"/>
        </w:rPr>
        <w:t xml:space="preserve">Lloyd’s expectation is that, as the same accounting policy applies, a consistent treatment of cashflows should be applied for the host and SPA, i.e. if the host is accounting for a payment </w:t>
      </w:r>
      <w:r w:rsidR="005B409F">
        <w:rPr>
          <w:rFonts w:ascii="Arial" w:hAnsi="Arial" w:cs="Arial"/>
        </w:rPr>
        <w:t xml:space="preserve">to the SPA, </w:t>
      </w:r>
      <w:r w:rsidRPr="00A90889">
        <w:rPr>
          <w:rFonts w:ascii="Arial" w:hAnsi="Arial" w:cs="Arial"/>
        </w:rPr>
        <w:t xml:space="preserve">the SPA should be accounting for its receipt.  </w:t>
      </w:r>
    </w:p>
    <w:p w14:paraId="31EEBC7C" w14:textId="77777777" w:rsidR="00552705" w:rsidRPr="00A90889" w:rsidRDefault="00552705" w:rsidP="00552705">
      <w:pPr>
        <w:rPr>
          <w:rFonts w:ascii="Arial" w:hAnsi="Arial" w:cs="Arial"/>
        </w:rPr>
      </w:pPr>
    </w:p>
    <w:p w14:paraId="0B75D239" w14:textId="77777777" w:rsidR="009F2B25" w:rsidRPr="001F26D4" w:rsidRDefault="009F2B25" w:rsidP="00A67179">
      <w:pPr>
        <w:spacing w:line="276" w:lineRule="auto"/>
        <w:rPr>
          <w:rFonts w:ascii="Arial" w:hAnsi="Arial" w:cs="Arial"/>
          <w:u w:val="single"/>
        </w:rPr>
      </w:pPr>
      <w:r w:rsidRPr="001F26D4">
        <w:rPr>
          <w:rFonts w:ascii="Arial" w:hAnsi="Arial" w:cs="Arial"/>
          <w:u w:val="single"/>
        </w:rPr>
        <w:t>Actuarial opinion</w:t>
      </w:r>
    </w:p>
    <w:p w14:paraId="420E7AC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lastRenderedPageBreak/>
        <w: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t>
      </w:r>
    </w:p>
    <w:p w14:paraId="4088BBE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are three key adjustments that could increase members' balances which the managing agent might make to UK GAAP figures previously agreed with the SAO actuary: </w:t>
      </w:r>
    </w:p>
    <w:p w14:paraId="589D2259" w14:textId="77777777" w:rsidR="00A67179" w:rsidRPr="00F046C8" w:rsidRDefault="00A67179" w:rsidP="006C5EE3">
      <w:pPr>
        <w:pStyle w:val="PlainText"/>
        <w:numPr>
          <w:ilvl w:val="0"/>
          <w:numId w:val="46"/>
        </w:numPr>
        <w:spacing w:before="120" w:after="120" w:line="276" w:lineRule="auto"/>
        <w:ind w:left="357" w:hanging="357"/>
        <w:rPr>
          <w:rFonts w:ascii="Arial" w:hAnsi="Arial" w:cs="Arial"/>
        </w:rPr>
      </w:pPr>
      <w:r w:rsidRPr="00F046C8">
        <w:rPr>
          <w:rFonts w:ascii="Arial" w:hAnsi="Arial" w:cs="Arial"/>
        </w:rPr>
        <w:t>The use of a ‘best estimate’ of unpaid future claims on business treated as earned in the UK GAAP accounts</w:t>
      </w:r>
    </w:p>
    <w:p w14:paraId="1F3B883A" w14:textId="36F4BB94" w:rsidR="00A67179" w:rsidRPr="001F26D4" w:rsidRDefault="00A67179" w:rsidP="00A67179">
      <w:pPr>
        <w:spacing w:before="120" w:line="276" w:lineRule="auto"/>
        <w:ind w:left="357" w:hanging="1077"/>
        <w:rPr>
          <w:rFonts w:ascii="Arial" w:hAnsi="Arial" w:cs="Arial"/>
        </w:rPr>
      </w:pPr>
      <w:r w:rsidRPr="00F046C8">
        <w:rPr>
          <w:rFonts w:ascii="Arial" w:hAnsi="Arial" w:cs="Arial"/>
        </w:rPr>
        <w:tab/>
        <w: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 in respect of the prior year-end opinion.</w:t>
      </w:r>
    </w:p>
    <w:p w14:paraId="49E5CF05"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Higher future premiums</w:t>
      </w:r>
    </w:p>
    <w:p w14:paraId="1043C444"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premium if this is significantly different to the managing agent’s view and this to be reported explicitly and separately to other margins in the SAO report.</w:t>
      </w:r>
    </w:p>
    <w:p w14:paraId="12CD2931"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Difference in earned premium (that would increase members' balances)</w:t>
      </w:r>
    </w:p>
    <w:p w14:paraId="63B1F106"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t>
      </w:r>
    </w:p>
    <w:p w14:paraId="3C78642C"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r>
    </w:p>
    <w:p w14:paraId="71A7C286" w14:textId="77777777" w:rsidR="001F26D4" w:rsidRPr="001F26D4" w:rsidRDefault="001F26D4" w:rsidP="00A67179">
      <w:pPr>
        <w:spacing w:line="276" w:lineRule="auto"/>
        <w:rPr>
          <w:rFonts w:ascii="Arial" w:hAnsi="Arial" w:cs="Arial"/>
        </w:rPr>
      </w:pPr>
      <w:r w:rsidRPr="001F26D4">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4BDE8704" w14:textId="77777777" w:rsidR="001F26D4" w:rsidRPr="001F26D4" w:rsidRDefault="001F26D4" w:rsidP="00A67179">
      <w:pPr>
        <w:spacing w:line="276" w:lineRule="auto"/>
        <w:rPr>
          <w:rFonts w:ascii="Arial" w:hAnsi="Arial" w:cs="Arial"/>
        </w:rPr>
      </w:pPr>
    </w:p>
    <w:p w14:paraId="32EE7381" w14:textId="77777777" w:rsidR="001F26D4" w:rsidRPr="001F26D4" w:rsidRDefault="001F26D4" w:rsidP="00A67179">
      <w:pPr>
        <w:spacing w:line="276" w:lineRule="auto"/>
        <w:rPr>
          <w:rFonts w:ascii="Arial" w:hAnsi="Arial" w:cs="Arial"/>
        </w:rPr>
      </w:pPr>
      <w:r w:rsidRPr="001F26D4">
        <w:rPr>
          <w:rFonts w:ascii="Arial" w:hAnsi="Arial" w:cs="Arial"/>
        </w:rPr>
        <w:t>The above does not include an assessment of the bound but not incepted business (BBNI) or profitability in the unearned element (except for assessing for Additional Unexpired Risk Reserve (AURR)).</w:t>
      </w:r>
    </w:p>
    <w:p w14:paraId="00D1E78C" w14:textId="77777777" w:rsidR="001F26D4" w:rsidRPr="001F26D4" w:rsidRDefault="001F26D4" w:rsidP="00A67179">
      <w:pPr>
        <w:spacing w:line="276" w:lineRule="auto"/>
        <w:rPr>
          <w:rFonts w:ascii="Arial" w:hAnsi="Arial" w:cs="Arial"/>
        </w:rPr>
      </w:pPr>
    </w:p>
    <w:p w14:paraId="0FAC8482" w14:textId="02121603" w:rsidR="001F26D4" w:rsidRPr="001F26D4" w:rsidRDefault="001F26D4" w:rsidP="00A67179">
      <w:pPr>
        <w:spacing w:line="276" w:lineRule="auto"/>
        <w:rPr>
          <w:rFonts w:ascii="Arial" w:hAnsi="Arial" w:cs="Arial"/>
        </w:rPr>
      </w:pPr>
      <w:r w:rsidRPr="008B07CB">
        <w:rPr>
          <w:rFonts w:ascii="Arial" w:hAnsi="Arial" w:cs="Arial"/>
        </w:rPr>
        <w:t>Where members' balances are materially higher after these adjustments at 31 December</w:t>
      </w:r>
      <w:r w:rsidRPr="00F046C8">
        <w:rPr>
          <w:rFonts w:ascii="Arial" w:hAnsi="Arial" w:cs="Arial"/>
        </w:rPr>
        <w: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68642DDE" w14:textId="77777777" w:rsidR="001F26D4" w:rsidRPr="001F26D4" w:rsidRDefault="001F26D4" w:rsidP="00A67179">
      <w:pPr>
        <w:spacing w:line="276" w:lineRule="auto"/>
        <w:rPr>
          <w:rFonts w:ascii="Arial" w:hAnsi="Arial" w:cs="Arial"/>
        </w:rPr>
      </w:pPr>
    </w:p>
    <w:p w14:paraId="66407D4B" w14:textId="77777777" w:rsidR="001F26D4" w:rsidRPr="001F26D4" w:rsidRDefault="001F26D4" w:rsidP="00A67179">
      <w:pPr>
        <w:spacing w:line="276" w:lineRule="auto"/>
        <w:rPr>
          <w:rFonts w:ascii="Arial" w:hAnsi="Arial" w:cs="Arial"/>
        </w:rPr>
      </w:pPr>
      <w:r w:rsidRPr="001F26D4">
        <w:rPr>
          <w:rFonts w:ascii="Arial" w:hAnsi="Arial" w:cs="Arial"/>
        </w:rPr>
        <w:t>Lloyd’s will not regard any such confirmation as constituting an actuarial opinion on the Solvency II technical provisions.</w:t>
      </w:r>
    </w:p>
    <w:p w14:paraId="53138E19" w14:textId="77777777" w:rsidR="001F26D4" w:rsidRPr="001F26D4" w:rsidRDefault="001F26D4" w:rsidP="00A67179">
      <w:pPr>
        <w:spacing w:line="276" w:lineRule="auto"/>
        <w:rPr>
          <w:rFonts w:ascii="Arial" w:hAnsi="Arial" w:cs="Arial"/>
          <w:b/>
        </w:rPr>
      </w:pPr>
    </w:p>
    <w:p w14:paraId="303F257B" w14:textId="77777777" w:rsidR="009F2B25" w:rsidRPr="00A82946" w:rsidRDefault="00A67179" w:rsidP="00A67179">
      <w:pPr>
        <w:spacing w:line="276" w:lineRule="auto"/>
        <w:rPr>
          <w:rFonts w:ascii="Arial" w:hAnsi="Arial" w:cs="Arial"/>
          <w:bCs/>
        </w:rPr>
      </w:pPr>
      <w:r w:rsidRPr="00A82946">
        <w:rPr>
          <w:rFonts w:ascii="Arial" w:hAnsi="Arial" w:cs="Arial"/>
          <w:bCs/>
        </w:rPr>
        <w:lastRenderedPageBreak/>
        <w: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t>
      </w:r>
    </w:p>
    <w:p w14:paraId="018DB5B5" w14:textId="77777777" w:rsidR="009F2B25" w:rsidRDefault="009F2B25" w:rsidP="00AC6722"/>
    <w:p w14:paraId="348081F3" w14:textId="77777777" w:rsidR="001F26D4" w:rsidRPr="00F455C0" w:rsidRDefault="001F26D4" w:rsidP="001F26D4">
      <w:pPr>
        <w:spacing w:before="120" w:line="280" w:lineRule="atLeast"/>
        <w:ind w:left="720" w:hanging="720"/>
        <w:rPr>
          <w:rFonts w:ascii="Arial" w:hAnsi="Arial" w:cs="Arial"/>
          <w:u w:val="single"/>
        </w:rPr>
      </w:pPr>
      <w:r w:rsidRPr="008B07CB">
        <w:rPr>
          <w:rFonts w:ascii="Arial" w:hAnsi="Arial" w:cs="Arial"/>
          <w:u w:val="single"/>
        </w:rPr>
        <w:t>Release of “reserve margins” for capital setting</w:t>
      </w:r>
    </w:p>
    <w:p w14:paraId="41060CAA" w14:textId="584E1CDF"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The 31 December and </w:t>
      </w:r>
      <w:r w:rsidR="000B5A83" w:rsidRPr="00F046C8">
        <w:rPr>
          <w:rFonts w:ascii="Arial" w:hAnsi="Arial" w:cs="Times New Roman"/>
        </w:rPr>
        <w:t xml:space="preserve">30 June </w:t>
      </w:r>
      <w:r w:rsidRPr="00F046C8">
        <w:rPr>
          <w:rFonts w:ascii="Arial" w:hAnsi="Arial" w:cs="Times New Roman"/>
        </w:rPr>
        <w:t>approaches are as follows:</w:t>
      </w:r>
    </w:p>
    <w:p w14:paraId="20209C61" w14:textId="77777777" w:rsidR="001F26D4" w:rsidRPr="00F046C8" w:rsidRDefault="001F26D4" w:rsidP="001F26D4">
      <w:pPr>
        <w:pStyle w:val="PlainText"/>
        <w:spacing w:before="120" w:after="120" w:line="280" w:lineRule="atLeast"/>
        <w:rPr>
          <w:rFonts w:ascii="Arial" w:hAnsi="Arial" w:cs="Times New Roman"/>
          <w:u w:val="single"/>
        </w:rPr>
      </w:pPr>
      <w:r w:rsidRPr="00F046C8">
        <w:rPr>
          <w:rFonts w:ascii="Arial" w:hAnsi="Arial" w:cs="Times New Roman"/>
          <w:u w:val="single"/>
        </w:rPr>
        <w:t>QSR002 – 31 December</w:t>
      </w:r>
    </w:p>
    <w:p w14:paraId="1E1C037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expects that all releases of “reserve margins” in respect of earned claims provisions which might be claimed for capital setting in the QSR002 to be consistent with that identified by the signing actuary in the SAO report (or a separate formal letter)</w:t>
      </w:r>
      <w:r w:rsidR="00AF01AA" w:rsidRPr="00F046C8">
        <w:rPr>
          <w:rFonts w:ascii="Arial" w:hAnsi="Arial" w:cs="Times New Roman"/>
        </w:rPr>
        <w:t xml:space="preserve"> by reporting year</w:t>
      </w:r>
      <w:r w:rsidRPr="00F046C8">
        <w:rPr>
          <w:rFonts w:ascii="Arial" w:hAnsi="Arial" w:cs="Times New Roman"/>
        </w:rPr>
        <w: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t>
      </w:r>
    </w:p>
    <w:p w14:paraId="33BDB7FC"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“reserve margins” for capital setting (QSR210, line 4) to the extent that they are clearly identified in the SAO report.  This will ensure the full margin in excess of the UK GAAP best estimate is declared in the QSR210. Information on how these should be presented in QSR210 is detailed in the instructions</w:t>
      </w:r>
      <w:r w:rsidR="00586061" w:rsidRPr="00F046C8">
        <w:rPr>
          <w:rFonts w:ascii="Arial" w:hAnsi="Arial" w:cs="Times New Roman"/>
        </w:rPr>
        <w:t xml:space="preserve"> for that form</w:t>
      </w:r>
      <w:r w:rsidRPr="00F046C8">
        <w:rPr>
          <w:rFonts w:ascii="Arial" w:hAnsi="Arial" w:cs="Times New Roman"/>
        </w:rPr>
        <w:t>.</w:t>
      </w:r>
    </w:p>
    <w:p w14:paraId="10480A8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36C89790" w14:textId="77777777" w:rsidR="001F26D4" w:rsidRPr="00F046C8" w:rsidRDefault="001F26D4" w:rsidP="001F26D4">
      <w:pPr>
        <w:pStyle w:val="PlainText"/>
        <w:spacing w:before="120" w:after="120" w:line="280" w:lineRule="atLeast"/>
      </w:pPr>
      <w:r w:rsidRPr="00F046C8">
        <w:rPr>
          <w:rFonts w:ascii="Arial" w:hAnsi="Arial" w:cs="Times New Roman"/>
        </w:rPr>
        <w:t>In all cases without the additional sign-off from the SAO actuary, Lloyd’s is expecting to disallow the excess margin claimed</w:t>
      </w:r>
      <w:r w:rsidR="00EA54B0" w:rsidRPr="00F046C8">
        <w:rPr>
          <w:rFonts w:ascii="Arial" w:hAnsi="Arial" w:cs="Times New Roman"/>
        </w:rPr>
        <w:t>.</w:t>
      </w:r>
    </w:p>
    <w:p w14:paraId="486B43D5" w14:textId="54154612" w:rsidR="001F26D4" w:rsidRPr="008B07CB" w:rsidRDefault="001F26D4" w:rsidP="001F26D4">
      <w:pPr>
        <w:pStyle w:val="PlainText"/>
        <w:spacing w:before="120" w:after="120" w:line="280" w:lineRule="atLeast"/>
        <w:rPr>
          <w:rFonts w:ascii="Arial" w:hAnsi="Arial" w:cs="Times New Roman"/>
          <w:u w:val="single"/>
        </w:rPr>
      </w:pPr>
      <w:r w:rsidRPr="008B07CB">
        <w:rPr>
          <w:rFonts w:ascii="Arial" w:hAnsi="Arial" w:cs="Times New Roman"/>
          <w:u w:val="single"/>
        </w:rPr>
        <w:t xml:space="preserve">QSR002 – </w:t>
      </w:r>
      <w:r w:rsidR="004A792B" w:rsidRPr="008B07CB">
        <w:rPr>
          <w:rFonts w:ascii="Arial" w:hAnsi="Arial" w:cs="Times New Roman"/>
          <w:u w:val="single"/>
        </w:rPr>
        <w:t>30 June</w:t>
      </w:r>
    </w:p>
    <w:p w14:paraId="3D8CC3C1" w14:textId="2980A43C" w:rsidR="001F26D4" w:rsidRPr="00AB6843" w:rsidRDefault="001556FD" w:rsidP="00AB6843">
      <w:pPr>
        <w:pStyle w:val="PlainText"/>
        <w:spacing w:before="120" w:after="120" w:line="280" w:lineRule="atLeast"/>
        <w:rPr>
          <w:rFonts w:ascii="Arial" w:hAnsi="Arial" w:cs="Times New Roman"/>
          <w:highlight w:val="yellow"/>
        </w:rPr>
      </w:pPr>
      <w:r>
        <w:rPr>
          <w:rFonts w:ascii="Arial" w:hAnsi="Arial" w:cs="Times New Roman"/>
        </w:rPr>
        <w:t xml:space="preserve">Lloyd’s is no longer performing testing at Q2 to check that the earned reserve margin claimed is limited to the aggregate SAO margin (across all Years of Account). </w:t>
      </w:r>
      <w:r w:rsidR="008B07CB">
        <w:rPr>
          <w:rFonts w:ascii="Arial" w:hAnsi="Arial" w:cs="Times New Roman"/>
        </w:rPr>
        <w:t xml:space="preserve">Lloyd’s </w:t>
      </w:r>
      <w:r w:rsidR="00F046C8" w:rsidRPr="00F046C8">
        <w:rPr>
          <w:rFonts w:ascii="Arial" w:hAnsi="Arial" w:cs="Times New Roman"/>
        </w:rPr>
        <w:t>expect</w:t>
      </w:r>
      <w:r>
        <w:rPr>
          <w:rFonts w:ascii="Arial" w:hAnsi="Arial" w:cs="Times New Roman"/>
        </w:rPr>
        <w:t>s</w:t>
      </w:r>
      <w:r w:rsidR="00F046C8" w:rsidRPr="00F046C8">
        <w:rPr>
          <w:rFonts w:ascii="Arial" w:hAnsi="Arial" w:cs="Times New Roman"/>
        </w:rPr>
        <w:t xml:space="preserve"> that </w:t>
      </w:r>
      <w:r w:rsidR="008B07CB">
        <w:rPr>
          <w:rFonts w:ascii="Arial" w:hAnsi="Arial" w:cs="Times New Roman"/>
        </w:rPr>
        <w:t xml:space="preserve">each </w:t>
      </w:r>
      <w:r w:rsidR="00F046C8" w:rsidRPr="00F046C8">
        <w:rPr>
          <w:rFonts w:ascii="Arial" w:hAnsi="Arial" w:cs="Times New Roman"/>
        </w:rPr>
        <w:t xml:space="preserve">syndicate </w:t>
      </w:r>
      <w:r>
        <w:rPr>
          <w:rFonts w:ascii="Arial" w:hAnsi="Arial" w:cs="Times New Roman"/>
        </w:rPr>
        <w:t xml:space="preserve">has appropriate processes and governance frameworks in place such that </w:t>
      </w:r>
      <w:r w:rsidR="00F046C8" w:rsidRPr="00F046C8">
        <w:rPr>
          <w:rFonts w:ascii="Arial" w:hAnsi="Arial" w:cs="Times New Roman"/>
        </w:rPr>
        <w:t>the</w:t>
      </w:r>
      <w:r w:rsidR="00F046C8" w:rsidRPr="00E56A7C">
        <w:rPr>
          <w:rFonts w:ascii="Arial" w:hAnsi="Arial" w:cs="Times New Roman"/>
        </w:rPr>
        <w:t xml:space="preserve"> releases of “reserve margins” in respect of earned claims provisions</w:t>
      </w:r>
      <w:r w:rsidR="00F046C8" w:rsidRPr="00F046C8">
        <w:rPr>
          <w:rFonts w:ascii="Arial" w:hAnsi="Arial" w:cs="Times New Roman"/>
        </w:rPr>
        <w:t xml:space="preserve"> are appropriate for the Q2 technical provisions</w:t>
      </w:r>
      <w:r w:rsidR="008B07CB">
        <w:rPr>
          <w:rFonts w:ascii="Arial" w:hAnsi="Arial" w:cs="Times New Roman"/>
        </w:rPr>
        <w:t xml:space="preserve">. </w:t>
      </w:r>
      <w:r>
        <w:rPr>
          <w:rFonts w:ascii="Arial" w:hAnsi="Arial" w:cs="Times New Roman"/>
        </w:rPr>
        <w:t xml:space="preserve"> Lloyd’s may seek further details from syndicates on validations performed on these areas.</w:t>
      </w:r>
    </w:p>
    <w:p w14:paraId="5C3E922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Future cash flows transferred from (re)insurance receivables/payables to technical provisions</w:t>
      </w:r>
    </w:p>
    <w:p w14:paraId="64D092EF" w14:textId="41DEE974" w:rsidR="00BB205C" w:rsidRDefault="00F74E15" w:rsidP="00F74E15">
      <w:pPr>
        <w:spacing w:after="120" w:line="280" w:lineRule="atLeast"/>
        <w:rPr>
          <w:rFonts w:ascii="Arial" w:hAnsi="Arial" w:cs="Arial"/>
        </w:rPr>
      </w:pPr>
      <w:r w:rsidRPr="00742F25">
        <w:rPr>
          <w:rFonts w:ascii="Arial" w:hAnsi="Arial" w:cs="Arial"/>
        </w:rPr>
        <w:t>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w:t>
      </w:r>
      <w:r w:rsidRPr="00FF6F89">
        <w:rPr>
          <w:rFonts w:ascii="Arial" w:hAnsi="Arial" w:cs="Arial"/>
        </w:rPr>
        <w:t>.  We</w:t>
      </w:r>
      <w:r w:rsidRPr="00742F25">
        <w:rPr>
          <w:rFonts w:ascii="Arial" w:hAnsi="Arial" w:cs="Arial"/>
        </w:rPr>
        <w:t xml:space="preserve"> would not expect any adjustments against reinsurance receivables in respect of </w:t>
      </w:r>
      <w:proofErr w:type="spellStart"/>
      <w:r w:rsidRPr="00742F25">
        <w:rPr>
          <w:rFonts w:ascii="Arial" w:hAnsi="Arial" w:cs="Arial"/>
        </w:rPr>
        <w:t>recoverables</w:t>
      </w:r>
      <w:proofErr w:type="spellEnd"/>
      <w:r w:rsidRPr="00742F25">
        <w:rPr>
          <w:rFonts w:ascii="Arial" w:hAnsi="Arial" w:cs="Arial"/>
        </w:rPr>
        <w:t xml:space="preserve"> on paid claims as these amounts should be left as debtors in the balance sheet. </w:t>
      </w:r>
    </w:p>
    <w:p w14:paraId="534E5C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Bound But Not Incepted (BBNI) provisions</w:t>
      </w:r>
    </w:p>
    <w:p w14:paraId="0033CF2C" w14:textId="77777777" w:rsidR="00F74E15" w:rsidRDefault="00F74E15" w:rsidP="00F74E15">
      <w:pPr>
        <w:spacing w:after="120" w:line="280" w:lineRule="atLeast"/>
        <w:rPr>
          <w:rFonts w:ascii="Arial" w:hAnsi="Arial" w:cs="Arial"/>
        </w:rPr>
      </w:pPr>
      <w:r w:rsidRPr="00A4449F">
        <w:rPr>
          <w:rFonts w:ascii="Arial" w:hAnsi="Arial" w:cs="Arial"/>
        </w:rPr>
        <w:lastRenderedPageBreak/>
        <w: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5E9F78C4"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LCA balances </w:t>
      </w:r>
    </w:p>
    <w:p w14:paraId="26E8D05F"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Pr>
          <w:rFonts w:ascii="Arial" w:hAnsi="Arial" w:cs="Arial"/>
        </w:rPr>
        <w:t>Q</w:t>
      </w:r>
      <w:r w:rsidRPr="00E332BA">
        <w:rPr>
          <w:rFonts w:ascii="Arial" w:hAnsi="Arial" w:cs="Arial"/>
        </w:rPr>
        <w:t>SR0</w:t>
      </w:r>
      <w:r w:rsidRPr="007E7103">
        <w:rPr>
          <w:rFonts w:ascii="Arial" w:hAnsi="Arial" w:cs="Arial"/>
        </w:rPr>
        <w:t>02</w:t>
      </w:r>
      <w:r w:rsidRPr="00C862E9">
        <w:rPr>
          <w:rFonts w:ascii="Arial" w:hAnsi="Arial" w:cs="Arial"/>
        </w:rPr>
        <w:t>.</w:t>
      </w:r>
    </w:p>
    <w:p w14:paraId="4C8E9438"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premium stand point the agent needs to consider what has been received. If the agent is notified of a premium signing which has not yet been settled and has a due date after the balance sheet date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14D8FBAB"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claims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date then it 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633B81FF" w14:textId="77777777" w:rsidR="00F74E15" w:rsidRDefault="00F74E15" w:rsidP="00F74E15">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7CF6FA4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Reinsurance recoveries</w:t>
      </w:r>
    </w:p>
    <w:p w14:paraId="29ECBCE1" w14:textId="77777777" w:rsidR="00F74E15" w:rsidRPr="00742F25" w:rsidRDefault="00F74E15" w:rsidP="00F74E15">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7A16CF0A" w14:textId="77777777" w:rsidR="00F74E15" w:rsidRDefault="00F74E15" w:rsidP="00F74E15">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5811A187" w14:textId="77777777" w:rsidR="00F74E15" w:rsidRPr="00F74E15" w:rsidRDefault="00F74E15" w:rsidP="00F74E15">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sidR="00B00E38">
        <w:rPr>
          <w:rFonts w:ascii="Arial" w:hAnsi="Arial" w:cs="Arial"/>
          <w:u w:val="single"/>
        </w:rPr>
        <w:t xml:space="preserve"> and contract boundaries</w:t>
      </w:r>
    </w:p>
    <w:p w14:paraId="376E8B4A" w14:textId="066CA65F" w:rsidR="00F74E15" w:rsidRPr="00742F25" w:rsidRDefault="00F74E15" w:rsidP="00F74E15">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the </w:t>
      </w:r>
      <w:r w:rsidR="00DA1167">
        <w:rPr>
          <w:rFonts w:ascii="Arial" w:hAnsi="Arial" w:cs="Arial"/>
        </w:rPr>
        <w:t xml:space="preserve">2024 </w:t>
      </w:r>
      <w:r w:rsidRPr="00A914EC">
        <w:rPr>
          <w:rFonts w:ascii="Arial" w:hAnsi="Arial" w:cs="Arial"/>
        </w:rPr>
        <w:t>Lloyd’s g</w:t>
      </w:r>
      <w:r w:rsidRPr="00742F25">
        <w:rPr>
          <w:rFonts w:ascii="Arial" w:hAnsi="Arial" w:cs="Arial"/>
        </w:rPr>
        <w:t>uidance on Technical Provisions.</w:t>
      </w:r>
    </w:p>
    <w:p w14:paraId="26E26828" w14:textId="77777777" w:rsidR="00553302" w:rsidRPr="001C16D1" w:rsidRDefault="00F74E15" w:rsidP="00EA54B0">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00553302" w:rsidRPr="001C16D1">
        <w:rPr>
          <w:rFonts w:ascii="Arial" w:hAnsi="Arial" w:cs="Arial"/>
        </w:rPr>
        <w:t xml:space="preserve"> Premiums for contracts that are not yet written or legally obliged, but would apply to existing inwards business, can be treated on a principle of correspondence basis.</w:t>
      </w:r>
    </w:p>
    <w:p w14:paraId="56C28AF1" w14:textId="77777777" w:rsidR="00553302" w:rsidRPr="001C16D1" w:rsidRDefault="00553302" w:rsidP="00B00E38">
      <w:pPr>
        <w:spacing w:before="120" w:line="280" w:lineRule="atLeast"/>
        <w:ind w:left="11" w:hanging="11"/>
        <w:rPr>
          <w:rFonts w:ascii="Arial" w:hAnsi="Arial" w:cs="Arial"/>
        </w:rPr>
      </w:pPr>
      <w:r w:rsidRPr="001C16D1">
        <w:rPr>
          <w:rFonts w:ascii="Arial" w:hAnsi="Arial" w:cs="Arial"/>
        </w:rPr>
        <w:t>Example (in £m):</w:t>
      </w:r>
    </w:p>
    <w:p w14:paraId="0059132D"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Total RI UPR; £40m (all contractually obliged)</w:t>
      </w:r>
    </w:p>
    <w:p w14:paraId="74414DBB"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38A194D7" w14:textId="77777777" w:rsidTr="00B00E38">
        <w:tc>
          <w:tcPr>
            <w:tcW w:w="7513" w:type="dxa"/>
            <w:tcBorders>
              <w:bottom w:val="single" w:sz="4" w:space="0" w:color="auto"/>
            </w:tcBorders>
          </w:tcPr>
          <w:p w14:paraId="084FFB78" w14:textId="77777777" w:rsidR="00553302" w:rsidRPr="001C16D1" w:rsidRDefault="00553302" w:rsidP="00553302">
            <w:pPr>
              <w:spacing w:before="120" w:line="280" w:lineRule="atLeast"/>
              <w:rPr>
                <w:rFonts w:ascii="Arial" w:hAnsi="Arial" w:cs="Arial"/>
              </w:rPr>
            </w:pPr>
            <w:r w:rsidRPr="001C16D1">
              <w:rPr>
                <w:rFonts w:ascii="Arial" w:hAnsi="Arial" w:cs="Arial"/>
              </w:rPr>
              <w:lastRenderedPageBreak/>
              <w:t>JOURNAL ENTRIES TO REFLECT RI ON UPR: UK GAAP vs SOLVENCY II (BEFORE AND AFTER REVISED SOLVENCY II TREATMENT OF CONTRACT BOUNDARIES)</w:t>
            </w:r>
          </w:p>
        </w:tc>
        <w:tc>
          <w:tcPr>
            <w:tcW w:w="567" w:type="dxa"/>
            <w:tcBorders>
              <w:bottom w:val="single" w:sz="4" w:space="0" w:color="auto"/>
            </w:tcBorders>
          </w:tcPr>
          <w:p w14:paraId="7F6EE81B"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DR </w:t>
            </w:r>
          </w:p>
          <w:p w14:paraId="5CCB58E1"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tcPr>
          <w:p w14:paraId="001DA05C"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CR </w:t>
            </w:r>
          </w:p>
          <w:p w14:paraId="0B9D9D20"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r>
      <w:tr w:rsidR="00553302" w:rsidRPr="001C16D1" w14:paraId="407E1BDA" w14:textId="77777777" w:rsidTr="00B00E38">
        <w:trPr>
          <w:trHeight w:val="698"/>
        </w:trPr>
        <w:tc>
          <w:tcPr>
            <w:tcW w:w="7513" w:type="dxa"/>
            <w:tcBorders>
              <w:bottom w:val="single" w:sz="4" w:space="0" w:color="auto"/>
            </w:tcBorders>
          </w:tcPr>
          <w:p w14:paraId="29D7D783"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UK GAAP LEDGER ENTRIES (Same treatment before and after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tcPr>
          <w:p w14:paraId="587377DB" w14:textId="77777777" w:rsidR="00553302" w:rsidRPr="001C16D1" w:rsidRDefault="00553302" w:rsidP="00553302">
            <w:pPr>
              <w:spacing w:before="120" w:line="280" w:lineRule="atLeast"/>
              <w:jc w:val="right"/>
              <w:rPr>
                <w:rFonts w:ascii="Arial" w:hAnsi="Arial" w:cs="Arial"/>
              </w:rPr>
            </w:pPr>
          </w:p>
        </w:tc>
        <w:tc>
          <w:tcPr>
            <w:tcW w:w="567" w:type="dxa"/>
            <w:tcBorders>
              <w:bottom w:val="single" w:sz="4" w:space="0" w:color="auto"/>
            </w:tcBorders>
          </w:tcPr>
          <w:p w14:paraId="60CA0065" w14:textId="77777777" w:rsidR="00553302" w:rsidRPr="001C16D1" w:rsidRDefault="00553302" w:rsidP="00553302">
            <w:pPr>
              <w:spacing w:before="120" w:line="280" w:lineRule="atLeast"/>
              <w:jc w:val="right"/>
              <w:rPr>
                <w:rFonts w:ascii="Arial" w:hAnsi="Arial" w:cs="Arial"/>
              </w:rPr>
            </w:pPr>
          </w:p>
        </w:tc>
      </w:tr>
      <w:tr w:rsidR="00553302" w:rsidRPr="001C16D1" w14:paraId="5F69D9F8" w14:textId="77777777" w:rsidTr="00B00E38">
        <w:tc>
          <w:tcPr>
            <w:tcW w:w="7513" w:type="dxa"/>
            <w:tcBorders>
              <w:top w:val="single" w:sz="4" w:space="0" w:color="auto"/>
              <w:left w:val="single" w:sz="4" w:space="0" w:color="auto"/>
              <w:bottom w:val="nil"/>
              <w:right w:val="single" w:sz="4" w:space="0" w:color="auto"/>
            </w:tcBorders>
          </w:tcPr>
          <w:p w14:paraId="40FF4905" w14:textId="77777777" w:rsidR="00553302" w:rsidRPr="001C16D1" w:rsidRDefault="00553302" w:rsidP="00553302">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tcPr>
          <w:p w14:paraId="1CA121F4"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tcPr>
          <w:p w14:paraId="6CA05F03" w14:textId="77777777" w:rsidR="00553302" w:rsidRPr="001C16D1" w:rsidRDefault="00553302" w:rsidP="00553302">
            <w:pPr>
              <w:spacing w:before="120" w:line="280" w:lineRule="atLeast"/>
              <w:jc w:val="right"/>
              <w:rPr>
                <w:rFonts w:ascii="Arial" w:hAnsi="Arial" w:cs="Arial"/>
              </w:rPr>
            </w:pPr>
          </w:p>
        </w:tc>
      </w:tr>
      <w:tr w:rsidR="00553302" w:rsidRPr="001C16D1" w14:paraId="14F0192D" w14:textId="77777777" w:rsidTr="00B00E38">
        <w:tc>
          <w:tcPr>
            <w:tcW w:w="7513" w:type="dxa"/>
            <w:tcBorders>
              <w:top w:val="nil"/>
              <w:left w:val="single" w:sz="4" w:space="0" w:color="auto"/>
              <w:bottom w:val="single" w:sz="4" w:space="0" w:color="auto"/>
              <w:right w:val="single" w:sz="4" w:space="0" w:color="auto"/>
            </w:tcBorders>
          </w:tcPr>
          <w:p w14:paraId="7ADBDDE0" w14:textId="77777777" w:rsidR="00313BAE" w:rsidRDefault="00553302" w:rsidP="00553302">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5FDBD1F5"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tcPr>
          <w:p w14:paraId="0F12A050"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tcPr>
          <w:p w14:paraId="589CDDA6"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55621963" w14:textId="77777777" w:rsidTr="00495209">
        <w:trPr>
          <w:trHeight w:val="343"/>
        </w:trPr>
        <w:tc>
          <w:tcPr>
            <w:tcW w:w="7513" w:type="dxa"/>
            <w:tcBorders>
              <w:top w:val="single" w:sz="4" w:space="0" w:color="auto"/>
              <w:bottom w:val="single" w:sz="4" w:space="0" w:color="auto"/>
            </w:tcBorders>
          </w:tcPr>
          <w:p w14:paraId="5A028E17"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tcPr>
          <w:p w14:paraId="2F11F1C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tcPr>
          <w:p w14:paraId="5E754EEF" w14:textId="77777777" w:rsidR="00553302" w:rsidRPr="001C16D1" w:rsidRDefault="00553302" w:rsidP="00553302">
            <w:pPr>
              <w:spacing w:before="120" w:line="280" w:lineRule="atLeast"/>
              <w:jc w:val="right"/>
              <w:rPr>
                <w:rFonts w:ascii="Arial" w:hAnsi="Arial" w:cs="Arial"/>
              </w:rPr>
            </w:pPr>
          </w:p>
        </w:tc>
      </w:tr>
      <w:tr w:rsidR="00553302" w:rsidRPr="001C16D1" w14:paraId="2930DF42" w14:textId="77777777" w:rsidTr="00B00E38">
        <w:tc>
          <w:tcPr>
            <w:tcW w:w="7513" w:type="dxa"/>
            <w:tcBorders>
              <w:top w:val="single" w:sz="4" w:space="0" w:color="auto"/>
              <w:left w:val="single" w:sz="4" w:space="0" w:color="auto"/>
              <w:bottom w:val="nil"/>
              <w:right w:val="single" w:sz="4" w:space="0" w:color="auto"/>
            </w:tcBorders>
          </w:tcPr>
          <w:p w14:paraId="2F74E0C1" w14:textId="77777777" w:rsidR="00553302" w:rsidRPr="001C16D1" w:rsidRDefault="00553302" w:rsidP="00313BAE">
            <w:pPr>
              <w:spacing w:before="120" w:line="280" w:lineRule="atLeast"/>
              <w:rPr>
                <w:rFonts w:ascii="Arial" w:hAnsi="Arial" w:cs="Arial"/>
                <w:strike/>
              </w:rPr>
            </w:pPr>
            <w:r w:rsidRPr="001C16D1">
              <w:rPr>
                <w:rFonts w:ascii="Arial" w:hAnsi="Arial" w:cs="Arial"/>
              </w:rPr>
              <w:t xml:space="preserve">(2a) Excess of assets over liabilities (members’ balances) – QSR002 column B line </w:t>
            </w:r>
            <w:r w:rsidR="00313BAE">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tcPr>
          <w:p w14:paraId="31DF144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tcPr>
          <w:p w14:paraId="561971D5" w14:textId="77777777" w:rsidR="00553302" w:rsidRPr="001C16D1" w:rsidRDefault="00553302" w:rsidP="00553302">
            <w:pPr>
              <w:spacing w:before="120" w:line="280" w:lineRule="atLeast"/>
              <w:jc w:val="right"/>
              <w:rPr>
                <w:rFonts w:ascii="Arial" w:hAnsi="Arial" w:cs="Arial"/>
              </w:rPr>
            </w:pPr>
          </w:p>
        </w:tc>
      </w:tr>
      <w:tr w:rsidR="00553302" w:rsidRPr="001C16D1" w14:paraId="29812C92" w14:textId="77777777" w:rsidTr="00B00E38">
        <w:tc>
          <w:tcPr>
            <w:tcW w:w="7513" w:type="dxa"/>
            <w:tcBorders>
              <w:top w:val="nil"/>
              <w:left w:val="single" w:sz="4" w:space="0" w:color="auto"/>
              <w:bottom w:val="single" w:sz="4" w:space="0" w:color="auto"/>
              <w:right w:val="single" w:sz="4" w:space="0" w:color="auto"/>
            </w:tcBorders>
          </w:tcPr>
          <w:p w14:paraId="52F1A983" w14:textId="77777777" w:rsidR="00553302" w:rsidRPr="001C16D1" w:rsidRDefault="00553302" w:rsidP="00553302">
            <w:pPr>
              <w:spacing w:before="120" w:line="280" w:lineRule="atLeast"/>
              <w:rPr>
                <w:rFonts w:ascii="Arial" w:hAnsi="Arial" w:cs="Arial"/>
              </w:rPr>
            </w:pPr>
            <w:r w:rsidRPr="001C16D1">
              <w:rPr>
                <w:rFonts w:ascii="Arial" w:hAnsi="Arial" w:cs="Arial"/>
              </w:rPr>
              <w:t>(2b) RI UPR (Balance Sheet) – QSR002 column B</w:t>
            </w:r>
            <w:r w:rsidR="00313BAE">
              <w:rPr>
                <w:rFonts w:ascii="Arial" w:hAnsi="Arial" w:cs="Arial"/>
              </w:rPr>
              <w:t xml:space="preserve"> line 43</w:t>
            </w:r>
          </w:p>
          <w:p w14:paraId="1C00EBD2"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tcPr>
          <w:p w14:paraId="6A6399F9"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tcPr>
          <w:p w14:paraId="0A16D8A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519334BD" w14:textId="77777777" w:rsidTr="00B00E38">
        <w:tc>
          <w:tcPr>
            <w:tcW w:w="7513" w:type="dxa"/>
            <w:tcBorders>
              <w:top w:val="single" w:sz="4" w:space="0" w:color="auto"/>
              <w:left w:val="single" w:sz="4" w:space="0" w:color="auto"/>
              <w:bottom w:val="nil"/>
              <w:right w:val="single" w:sz="4" w:space="0" w:color="auto"/>
            </w:tcBorders>
          </w:tcPr>
          <w:p w14:paraId="5B97AA97" w14:textId="77777777" w:rsidR="00553302" w:rsidRPr="001C16D1" w:rsidRDefault="00553302" w:rsidP="00553302">
            <w:pPr>
              <w:spacing w:before="120" w:line="280" w:lineRule="atLeast"/>
              <w:rPr>
                <w:rFonts w:ascii="Arial" w:hAnsi="Arial" w:cs="Arial"/>
              </w:rPr>
            </w:pPr>
            <w:r w:rsidRPr="001C16D1">
              <w:rPr>
                <w:rFonts w:ascii="Arial" w:hAnsi="Arial" w:cs="Arial"/>
              </w:rPr>
              <w:t>(3a) Any Other Assets  - QSR002 column B line 51</w:t>
            </w:r>
          </w:p>
        </w:tc>
        <w:tc>
          <w:tcPr>
            <w:tcW w:w="567" w:type="dxa"/>
            <w:tcBorders>
              <w:top w:val="single" w:sz="4" w:space="0" w:color="auto"/>
              <w:left w:val="single" w:sz="4" w:space="0" w:color="auto"/>
              <w:bottom w:val="nil"/>
              <w:right w:val="single" w:sz="4" w:space="0" w:color="auto"/>
            </w:tcBorders>
          </w:tcPr>
          <w:p w14:paraId="64783C9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tcPr>
          <w:p w14:paraId="73BA6A76" w14:textId="77777777" w:rsidR="00553302" w:rsidRPr="001C16D1" w:rsidRDefault="00553302" w:rsidP="00553302">
            <w:pPr>
              <w:spacing w:before="120" w:line="280" w:lineRule="atLeast"/>
              <w:jc w:val="right"/>
              <w:rPr>
                <w:rFonts w:ascii="Arial" w:hAnsi="Arial" w:cs="Arial"/>
              </w:rPr>
            </w:pPr>
          </w:p>
        </w:tc>
      </w:tr>
      <w:tr w:rsidR="00553302" w:rsidRPr="001C16D1" w14:paraId="42786916" w14:textId="77777777" w:rsidTr="00B00E38">
        <w:tc>
          <w:tcPr>
            <w:tcW w:w="7513" w:type="dxa"/>
            <w:tcBorders>
              <w:top w:val="nil"/>
              <w:left w:val="single" w:sz="4" w:space="0" w:color="auto"/>
              <w:bottom w:val="single" w:sz="4" w:space="0" w:color="auto"/>
              <w:right w:val="single" w:sz="4" w:space="0" w:color="auto"/>
            </w:tcBorders>
          </w:tcPr>
          <w:p w14:paraId="175B2AE0" w14:textId="77777777" w:rsidR="00553302" w:rsidRPr="001C16D1" w:rsidRDefault="00553302" w:rsidP="00553302">
            <w:pPr>
              <w:spacing w:before="120" w:line="280" w:lineRule="atLeast"/>
              <w:rPr>
                <w:rFonts w:ascii="Arial" w:hAnsi="Arial" w:cs="Arial"/>
              </w:rPr>
            </w:pPr>
            <w:r w:rsidRPr="001C16D1">
              <w:rPr>
                <w:rFonts w:ascii="Arial" w:hAnsi="Arial" w:cs="Arial"/>
              </w:rPr>
              <w:t>(3b) RI UPR (Balance Sheet) – QSR002 column B</w:t>
            </w:r>
            <w:r w:rsidR="00313BAE">
              <w:rPr>
                <w:rFonts w:ascii="Arial" w:hAnsi="Arial" w:cs="Arial"/>
              </w:rPr>
              <w:t xml:space="preserve"> line 43</w:t>
            </w:r>
          </w:p>
          <w:p w14:paraId="1F88A2A7" w14:textId="77777777" w:rsidR="00553302" w:rsidRPr="001C16D1" w:rsidRDefault="00553302" w:rsidP="00553302">
            <w:pPr>
              <w:spacing w:before="120" w:line="280" w:lineRule="atLeast"/>
              <w:rPr>
                <w:rFonts w:ascii="Arial" w:hAnsi="Arial" w:cs="Arial"/>
              </w:rPr>
            </w:pPr>
            <w:r w:rsidRPr="001C16D1">
              <w:rPr>
                <w:rFonts w:ascii="Arial" w:hAnsi="Arial" w:cs="Arial"/>
              </w:rPr>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tcPr>
          <w:p w14:paraId="57D49AE3"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tcPr>
          <w:p w14:paraId="1246D57A"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r>
      <w:tr w:rsidR="00553302" w:rsidRPr="001C16D1" w14:paraId="30781DC3" w14:textId="77777777" w:rsidTr="00B00E38">
        <w:tc>
          <w:tcPr>
            <w:tcW w:w="7513" w:type="dxa"/>
            <w:tcBorders>
              <w:top w:val="single" w:sz="4" w:space="0" w:color="auto"/>
              <w:bottom w:val="single" w:sz="4" w:space="0" w:color="auto"/>
            </w:tcBorders>
          </w:tcPr>
          <w:p w14:paraId="20643A93"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tcPr>
          <w:p w14:paraId="4027DB1D"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tcPr>
          <w:p w14:paraId="540DCCD6" w14:textId="77777777" w:rsidR="00553302" w:rsidRPr="001C16D1" w:rsidRDefault="00553302" w:rsidP="00553302">
            <w:pPr>
              <w:spacing w:before="120" w:line="280" w:lineRule="atLeast"/>
              <w:jc w:val="right"/>
              <w:rPr>
                <w:rFonts w:ascii="Arial" w:hAnsi="Arial" w:cs="Arial"/>
              </w:rPr>
            </w:pPr>
          </w:p>
        </w:tc>
      </w:tr>
      <w:tr w:rsidR="00553302" w:rsidRPr="001C16D1" w14:paraId="5C787790" w14:textId="77777777" w:rsidTr="00B00E38">
        <w:tc>
          <w:tcPr>
            <w:tcW w:w="7513" w:type="dxa"/>
            <w:tcBorders>
              <w:top w:val="single" w:sz="4" w:space="0" w:color="auto"/>
              <w:left w:val="single" w:sz="4" w:space="0" w:color="auto"/>
              <w:bottom w:val="nil"/>
              <w:right w:val="single" w:sz="4" w:space="0" w:color="auto"/>
            </w:tcBorders>
          </w:tcPr>
          <w:p w14:paraId="0B1A8A86"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(4a) Excess of assets over liabilities (members’ balances) – QSR002 column B line 89 </w:t>
            </w:r>
          </w:p>
        </w:tc>
        <w:tc>
          <w:tcPr>
            <w:tcW w:w="567" w:type="dxa"/>
            <w:tcBorders>
              <w:top w:val="single" w:sz="4" w:space="0" w:color="auto"/>
              <w:left w:val="single" w:sz="4" w:space="0" w:color="auto"/>
              <w:bottom w:val="nil"/>
              <w:right w:val="single" w:sz="4" w:space="0" w:color="auto"/>
            </w:tcBorders>
          </w:tcPr>
          <w:p w14:paraId="1440F18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tcPr>
          <w:p w14:paraId="1A7D8588" w14:textId="77777777" w:rsidR="00553302" w:rsidRPr="001C16D1" w:rsidRDefault="00553302" w:rsidP="00553302">
            <w:pPr>
              <w:spacing w:before="120" w:line="280" w:lineRule="atLeast"/>
              <w:jc w:val="right"/>
              <w:rPr>
                <w:rFonts w:ascii="Arial" w:hAnsi="Arial" w:cs="Arial"/>
              </w:rPr>
            </w:pPr>
          </w:p>
        </w:tc>
      </w:tr>
      <w:tr w:rsidR="00553302" w:rsidRPr="001C16D1" w14:paraId="4385ED27" w14:textId="77777777" w:rsidTr="00B00E38">
        <w:tc>
          <w:tcPr>
            <w:tcW w:w="7513" w:type="dxa"/>
            <w:tcBorders>
              <w:top w:val="nil"/>
              <w:left w:val="single" w:sz="4" w:space="0" w:color="auto"/>
              <w:bottom w:val="single" w:sz="4" w:space="0" w:color="auto"/>
              <w:right w:val="single" w:sz="4" w:space="0" w:color="auto"/>
            </w:tcBorders>
          </w:tcPr>
          <w:p w14:paraId="148FC241" w14:textId="77777777" w:rsidR="00B00E38" w:rsidRDefault="00553302" w:rsidP="00B00E38">
            <w:pPr>
              <w:spacing w:before="120" w:line="280" w:lineRule="atLeast"/>
              <w:rPr>
                <w:rFonts w:ascii="Arial" w:hAnsi="Arial" w:cs="Arial"/>
              </w:rPr>
            </w:pPr>
            <w:r w:rsidRPr="001C16D1">
              <w:rPr>
                <w:rFonts w:ascii="Arial" w:hAnsi="Arial" w:cs="Arial"/>
              </w:rPr>
              <w:t>(4b) RI UPR (Balance Sheet) - QSR002 column B</w:t>
            </w:r>
            <w:r w:rsidR="00AD1F15">
              <w:rPr>
                <w:rFonts w:ascii="Arial" w:hAnsi="Arial" w:cs="Arial"/>
              </w:rPr>
              <w:t xml:space="preserve"> line 43</w:t>
            </w:r>
          </w:p>
          <w:p w14:paraId="6A1C0383" w14:textId="77777777" w:rsidR="00553302" w:rsidRPr="001C16D1" w:rsidRDefault="00553302" w:rsidP="00B00E38">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tcPr>
          <w:p w14:paraId="4FBFB8DE"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tcPr>
          <w:p w14:paraId="0923F54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bl>
    <w:p w14:paraId="03E7BFC6"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424387ED" w14:textId="77777777" w:rsidTr="00B00E38">
        <w:tc>
          <w:tcPr>
            <w:tcW w:w="7513" w:type="dxa"/>
            <w:tcBorders>
              <w:top w:val="single" w:sz="4" w:space="0" w:color="auto"/>
              <w:bottom w:val="single" w:sz="4" w:space="0" w:color="auto"/>
            </w:tcBorders>
          </w:tcPr>
          <w:p w14:paraId="6CB4B0CB"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tcPr>
          <w:p w14:paraId="6AEF5FD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tcPr>
          <w:p w14:paraId="7C3CC44C" w14:textId="77777777" w:rsidR="00553302" w:rsidRPr="001C16D1" w:rsidRDefault="00553302" w:rsidP="00553302">
            <w:pPr>
              <w:spacing w:before="120" w:line="280" w:lineRule="atLeast"/>
              <w:jc w:val="right"/>
              <w:rPr>
                <w:rFonts w:ascii="Arial" w:hAnsi="Arial" w:cs="Arial"/>
              </w:rPr>
            </w:pPr>
          </w:p>
        </w:tc>
      </w:tr>
      <w:tr w:rsidR="00553302" w:rsidRPr="001C16D1" w14:paraId="0A0CFDB9" w14:textId="77777777" w:rsidTr="00B00E38">
        <w:tc>
          <w:tcPr>
            <w:tcW w:w="7513" w:type="dxa"/>
            <w:tcBorders>
              <w:top w:val="single" w:sz="4" w:space="0" w:color="auto"/>
              <w:left w:val="single" w:sz="4" w:space="0" w:color="auto"/>
              <w:bottom w:val="nil"/>
              <w:right w:val="single" w:sz="4" w:space="0" w:color="auto"/>
            </w:tcBorders>
          </w:tcPr>
          <w:p w14:paraId="33C273BA" w14:textId="77777777" w:rsidR="00553302" w:rsidRPr="001C16D1" w:rsidRDefault="00553302" w:rsidP="00553302">
            <w:pPr>
              <w:spacing w:before="120" w:line="280" w:lineRule="atLeast"/>
              <w:rPr>
                <w:rFonts w:ascii="Arial" w:hAnsi="Arial" w:cs="Arial"/>
              </w:rPr>
            </w:pPr>
            <w:r w:rsidRPr="001C16D1">
              <w:rPr>
                <w:rFonts w:ascii="Arial" w:hAnsi="Arial" w:cs="Arial"/>
              </w:rPr>
              <w:t>(5a) Reinsurance payables - QSR 002 column B line 83</w:t>
            </w:r>
          </w:p>
          <w:p w14:paraId="45DE7E3D"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(5b) Reinsurance </w:t>
            </w:r>
            <w:proofErr w:type="spellStart"/>
            <w:r w:rsidRPr="001C16D1">
              <w:rPr>
                <w:rFonts w:ascii="Arial" w:hAnsi="Arial" w:cs="Arial"/>
              </w:rPr>
              <w:t>recoverables</w:t>
            </w:r>
            <w:proofErr w:type="spellEnd"/>
            <w:r w:rsidRPr="001C16D1">
              <w:rPr>
                <w:rFonts w:ascii="Arial" w:hAnsi="Arial" w:cs="Arial"/>
              </w:rPr>
              <w:t xml:space="preserve"> (Reinsurers' share of technical provisions) - QSR 002 column B line 43</w:t>
            </w:r>
          </w:p>
        </w:tc>
        <w:tc>
          <w:tcPr>
            <w:tcW w:w="567" w:type="dxa"/>
            <w:tcBorders>
              <w:top w:val="single" w:sz="4" w:space="0" w:color="auto"/>
              <w:left w:val="single" w:sz="4" w:space="0" w:color="auto"/>
              <w:bottom w:val="nil"/>
              <w:right w:val="single" w:sz="4" w:space="0" w:color="auto"/>
            </w:tcBorders>
          </w:tcPr>
          <w:p w14:paraId="039DB192"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tcPr>
          <w:p w14:paraId="53B1E57C" w14:textId="77777777" w:rsidR="00553302" w:rsidRPr="001C16D1" w:rsidRDefault="00553302" w:rsidP="00553302">
            <w:pPr>
              <w:spacing w:before="120" w:line="280" w:lineRule="atLeast"/>
              <w:jc w:val="right"/>
              <w:rPr>
                <w:rFonts w:ascii="Arial" w:hAnsi="Arial" w:cs="Arial"/>
              </w:rPr>
            </w:pPr>
          </w:p>
          <w:p w14:paraId="6ABDAFC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344D1653" w14:textId="77777777" w:rsidTr="00B00E38">
        <w:tc>
          <w:tcPr>
            <w:tcW w:w="7513" w:type="dxa"/>
            <w:tcBorders>
              <w:top w:val="nil"/>
              <w:left w:val="single" w:sz="4" w:space="0" w:color="auto"/>
              <w:bottom w:val="single" w:sz="4" w:space="0" w:color="auto"/>
              <w:right w:val="single" w:sz="4" w:space="0" w:color="auto"/>
            </w:tcBorders>
          </w:tcPr>
          <w:p w14:paraId="2F6E5DED"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tcPr>
          <w:p w14:paraId="38161E05"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tcPr>
          <w:p w14:paraId="438A8640" w14:textId="77777777" w:rsidR="00553302" w:rsidRPr="001C16D1" w:rsidRDefault="00553302" w:rsidP="00553302">
            <w:pPr>
              <w:spacing w:before="120" w:line="280" w:lineRule="atLeast"/>
              <w:jc w:val="right"/>
              <w:rPr>
                <w:rFonts w:ascii="Arial" w:hAnsi="Arial" w:cs="Arial"/>
              </w:rPr>
            </w:pPr>
          </w:p>
        </w:tc>
      </w:tr>
      <w:tr w:rsidR="00553302" w:rsidRPr="001C16D1" w14:paraId="69AA834D" w14:textId="77777777" w:rsidTr="00B00E38">
        <w:tc>
          <w:tcPr>
            <w:tcW w:w="7513" w:type="dxa"/>
            <w:tcBorders>
              <w:top w:val="single" w:sz="4" w:space="0" w:color="auto"/>
              <w:bottom w:val="single" w:sz="4" w:space="0" w:color="auto"/>
            </w:tcBorders>
          </w:tcPr>
          <w:p w14:paraId="0C5E3629"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tcPr>
          <w:p w14:paraId="15508BBA"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tcPr>
          <w:p w14:paraId="4E0D2753" w14:textId="77777777" w:rsidR="00553302" w:rsidRPr="001C16D1" w:rsidRDefault="00553302" w:rsidP="00553302">
            <w:pPr>
              <w:spacing w:before="120" w:line="280" w:lineRule="atLeast"/>
              <w:jc w:val="right"/>
              <w:rPr>
                <w:rFonts w:ascii="Arial" w:hAnsi="Arial" w:cs="Arial"/>
              </w:rPr>
            </w:pPr>
          </w:p>
        </w:tc>
      </w:tr>
      <w:tr w:rsidR="00553302" w:rsidRPr="001C16D1" w14:paraId="4CB82C8E" w14:textId="77777777" w:rsidTr="00B00E38">
        <w:tc>
          <w:tcPr>
            <w:tcW w:w="7513" w:type="dxa"/>
            <w:tcBorders>
              <w:top w:val="single" w:sz="4" w:space="0" w:color="auto"/>
              <w:left w:val="single" w:sz="4" w:space="0" w:color="auto"/>
              <w:bottom w:val="nil"/>
              <w:right w:val="single" w:sz="4" w:space="0" w:color="auto"/>
            </w:tcBorders>
          </w:tcPr>
          <w:p w14:paraId="4D7C0D3E" w14:textId="77777777" w:rsidR="00553302" w:rsidRPr="001C16D1" w:rsidRDefault="00553302" w:rsidP="00553302">
            <w:pPr>
              <w:spacing w:before="120" w:line="280" w:lineRule="atLeast"/>
              <w:rPr>
                <w:rFonts w:ascii="Arial" w:hAnsi="Arial" w:cs="Arial"/>
              </w:rPr>
            </w:pPr>
            <w:r w:rsidRPr="001C16D1">
              <w:rPr>
                <w:rFonts w:ascii="Arial" w:hAnsi="Arial" w:cs="Arial"/>
              </w:rPr>
              <w:t>(6a) Reinsurance payables - QSR 002 column B line 83</w:t>
            </w:r>
          </w:p>
          <w:p w14:paraId="2B14EF6C"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(6b) Reinsurance </w:t>
            </w:r>
            <w:proofErr w:type="spellStart"/>
            <w:r w:rsidRPr="001C16D1">
              <w:rPr>
                <w:rFonts w:ascii="Arial" w:hAnsi="Arial" w:cs="Arial"/>
              </w:rPr>
              <w:t>recoverables</w:t>
            </w:r>
            <w:proofErr w:type="spellEnd"/>
            <w:r w:rsidRPr="001C16D1">
              <w:rPr>
                <w:rFonts w:ascii="Arial" w:hAnsi="Arial" w:cs="Arial"/>
              </w:rPr>
              <w:t xml:space="preserve"> (Reinsurers' share of technical provisions) - QSR 002 column B line 43</w:t>
            </w:r>
          </w:p>
          <w:p w14:paraId="5D31CB4A"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tcPr>
          <w:p w14:paraId="5A50B38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tcPr>
          <w:p w14:paraId="6504B748" w14:textId="77777777" w:rsidR="00553302" w:rsidRPr="001C16D1" w:rsidRDefault="00553302" w:rsidP="00553302">
            <w:pPr>
              <w:spacing w:before="120" w:line="280" w:lineRule="atLeast"/>
              <w:jc w:val="right"/>
              <w:rPr>
                <w:rFonts w:ascii="Arial" w:hAnsi="Arial" w:cs="Arial"/>
              </w:rPr>
            </w:pPr>
          </w:p>
          <w:p w14:paraId="00F8328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027D6AEF" w14:textId="77777777" w:rsidTr="00B00E38">
        <w:trPr>
          <w:trHeight w:val="68"/>
        </w:trPr>
        <w:tc>
          <w:tcPr>
            <w:tcW w:w="7513" w:type="dxa"/>
            <w:tcBorders>
              <w:top w:val="nil"/>
              <w:left w:val="single" w:sz="4" w:space="0" w:color="auto"/>
              <w:bottom w:val="single" w:sz="4" w:space="0" w:color="auto"/>
              <w:right w:val="single" w:sz="4" w:space="0" w:color="auto"/>
            </w:tcBorders>
          </w:tcPr>
          <w:p w14:paraId="50921B8D" w14:textId="77777777" w:rsidR="00553302" w:rsidRPr="001C16D1" w:rsidRDefault="00553302" w:rsidP="00553302">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tcPr>
          <w:p w14:paraId="1037DEF8"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tcPr>
          <w:p w14:paraId="4A719567" w14:textId="77777777" w:rsidR="00553302" w:rsidRPr="001C16D1" w:rsidRDefault="00553302" w:rsidP="00553302">
            <w:pPr>
              <w:spacing w:before="120" w:line="280" w:lineRule="atLeast"/>
              <w:jc w:val="right"/>
              <w:rPr>
                <w:rFonts w:ascii="Arial" w:hAnsi="Arial" w:cs="Arial"/>
              </w:rPr>
            </w:pPr>
          </w:p>
        </w:tc>
      </w:tr>
    </w:tbl>
    <w:p w14:paraId="207C167D" w14:textId="3F68C37A" w:rsidR="00553302" w:rsidRPr="001C16D1" w:rsidRDefault="00553302" w:rsidP="00B00E38">
      <w:pPr>
        <w:spacing w:before="120" w:line="280" w:lineRule="atLeast"/>
        <w:ind w:left="11"/>
        <w:rPr>
          <w:rFonts w:ascii="Arial" w:hAnsi="Arial" w:cs="Arial"/>
        </w:rPr>
      </w:pPr>
      <w:r w:rsidRPr="001C16D1">
        <w:rPr>
          <w:rFonts w:ascii="Arial" w:hAnsi="Arial" w:cs="Arial"/>
        </w:rPr>
        <w:t xml:space="preserve">In the above example, after applying the </w:t>
      </w:r>
      <w:r w:rsidR="006E47CC">
        <w:rPr>
          <w:rFonts w:ascii="Arial" w:hAnsi="Arial" w:cs="Arial"/>
        </w:rPr>
        <w:t>2024</w:t>
      </w:r>
      <w:r w:rsidRPr="001C16D1">
        <w:rPr>
          <w:rFonts w:ascii="Arial" w:hAnsi="Arial" w:cs="Arial"/>
        </w:rPr>
        <w:t xml:space="preserve"> technical provisions guidance on reinsurance contract boundaries, there is an additional £10m included in the best estimate cash flow as the full level of contractual premium (the contractual obligation is to all of the RI costs), resulting in an adverse impact on members’ balance of</w:t>
      </w:r>
      <w:r w:rsidR="00B1700D">
        <w:rPr>
          <w:rFonts w:ascii="Arial" w:hAnsi="Arial" w:cs="Arial"/>
        </w:rPr>
        <w:t xml:space="preserve"> £10m. </w:t>
      </w:r>
      <w:r w:rsidRPr="001C16D1">
        <w:rPr>
          <w:rFonts w:ascii="Arial" w:hAnsi="Arial" w:cs="Arial"/>
        </w:rPr>
        <w:t xml:space="preserve"> </w:t>
      </w:r>
    </w:p>
    <w:p w14:paraId="53776DB6" w14:textId="608A5F4F" w:rsidR="00661F00" w:rsidRDefault="00553302" w:rsidP="00B00E38">
      <w:pPr>
        <w:spacing w:before="120" w:line="280" w:lineRule="atLeast"/>
        <w:ind w:left="11"/>
        <w:rPr>
          <w:rFonts w:ascii="Arial" w:hAnsi="Arial" w:cs="Arial"/>
        </w:rPr>
      </w:pPr>
      <w:r w:rsidRPr="001C16D1">
        <w:rPr>
          <w:rFonts w:ascii="Arial" w:hAnsi="Arial" w:cs="Arial"/>
        </w:rPr>
        <w:t xml:space="preserve">Information on the impact of the change to the treatment of reinsurance contract boundaries is required by reporting year of account </w:t>
      </w:r>
      <w:r w:rsidR="00B00E38">
        <w:rPr>
          <w:rFonts w:ascii="Arial" w:hAnsi="Arial" w:cs="Arial"/>
        </w:rPr>
        <w:t>o</w:t>
      </w:r>
      <w:r w:rsidRPr="001C16D1">
        <w:rPr>
          <w:rFonts w:ascii="Arial" w:hAnsi="Arial" w:cs="Arial"/>
        </w:rPr>
        <w:t xml:space="preserve">n line 94. This information will be used centrally by Lloyd’s to neutralise the effect of the change to reinsurance contract boundaries.  In previous valuations this information has been collected by a separate return (please refer to </w:t>
      </w:r>
      <w:hyperlink r:id="rId30" w:history="1">
        <w:r w:rsidRPr="000005CD">
          <w:rPr>
            <w:rStyle w:val="Hyperlink"/>
            <w:rFonts w:ascii="Arial" w:hAnsi="Arial" w:cs="Arial"/>
          </w:rPr>
          <w:t>market bulletin Y4920</w:t>
        </w:r>
      </w:hyperlink>
      <w:r w:rsidRPr="000005CD">
        <w:rPr>
          <w:rFonts w:ascii="Arial" w:hAnsi="Arial" w:cs="Arial"/>
        </w:rPr>
        <w:t>)</w:t>
      </w:r>
      <w:r w:rsidRPr="001C16D1">
        <w:rPr>
          <w:rFonts w:ascii="Arial" w:hAnsi="Arial" w:cs="Arial"/>
        </w:rPr>
        <w:t xml:space="preserve"> and the LCR.</w:t>
      </w:r>
    </w:p>
    <w:p w14:paraId="27B8C7B8" w14:textId="77777777" w:rsidR="00553302" w:rsidRPr="001C16D1" w:rsidRDefault="00553302" w:rsidP="00B00E38">
      <w:pPr>
        <w:spacing w:before="120" w:line="280" w:lineRule="atLeast"/>
        <w:ind w:left="11"/>
        <w:rPr>
          <w:rFonts w:ascii="Arial" w:hAnsi="Arial" w:cs="Arial"/>
        </w:rPr>
      </w:pPr>
      <w:r w:rsidRPr="001C16D1">
        <w:rPr>
          <w:rFonts w:ascii="Arial" w:hAnsi="Arial" w:cs="Arial"/>
          <w:highlight w:val="yellow"/>
        </w:rPr>
        <w:t xml:space="preserve">   </w:t>
      </w:r>
    </w:p>
    <w:p w14:paraId="76D2A7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0A6522B4" w14:textId="77777777" w:rsidR="00F74E15" w:rsidRDefault="00F74E15" w:rsidP="00F74E15">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basis of the financial information. Materiality depends on the size and nature of the omission or misstatement judged in the surrounding circumstances.” </w:t>
      </w:r>
    </w:p>
    <w:p w14:paraId="64F0F87A"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Profit commission </w:t>
      </w:r>
    </w:p>
    <w:p w14:paraId="0B795D28" w14:textId="77777777" w:rsidR="00F74E15" w:rsidRPr="00C862E9" w:rsidRDefault="00F74E15" w:rsidP="00F74E15">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49F76C2C" w14:textId="3397E0B4" w:rsidR="00F74E15" w:rsidRDefault="00F74E15" w:rsidP="00F74E15">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UK GAAP result.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t>
      </w:r>
    </w:p>
    <w:p w14:paraId="33FDA702" w14:textId="77777777" w:rsidR="00F74E15" w:rsidRPr="00F74E15" w:rsidRDefault="00F74E15" w:rsidP="00F74E15">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24FCB518" w14:textId="77777777" w:rsidR="00F74E15" w:rsidRDefault="00F74E15" w:rsidP="00F74E15">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investments lines i.e. </w:t>
      </w:r>
      <w:r>
        <w:rPr>
          <w:rFonts w:ascii="Arial" w:hAnsi="Arial" w:cs="Arial"/>
          <w:lang w:val="en-US"/>
        </w:rPr>
        <w:t>QSR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sidR="00AD1F15">
        <w:rPr>
          <w:rFonts w:ascii="Arial" w:hAnsi="Arial" w:cs="Arial"/>
          <w:lang w:val="en-US"/>
        </w:rPr>
        <w:t xml:space="preserve"> to </w:t>
      </w:r>
      <w:r>
        <w:rPr>
          <w:rFonts w:ascii="Arial" w:hAnsi="Arial" w:cs="Arial"/>
          <w:lang w:val="en-US"/>
        </w:rPr>
        <w:t>C</w:t>
      </w:r>
      <w:r w:rsidRPr="00DB0392">
        <w:rPr>
          <w:rFonts w:ascii="Arial" w:hAnsi="Arial" w:cs="Arial"/>
          <w:lang w:val="en-US"/>
        </w:rPr>
        <w:t>29.</w:t>
      </w:r>
    </w:p>
    <w:p w14:paraId="0DBC2A7F" w14:textId="77777777" w:rsidR="00B93D89" w:rsidRPr="001F26D4" w:rsidRDefault="00B93D89" w:rsidP="00B93D89">
      <w:pPr>
        <w:spacing w:before="12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closing </w:t>
      </w:r>
    </w:p>
    <w:p w14:paraId="06B6F646" w14:textId="244A726F" w:rsidR="00B93D89" w:rsidRPr="001F26D4" w:rsidRDefault="00B93D89" w:rsidP="00B93D89">
      <w:pPr>
        <w:spacing w:before="12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w:t>
      </w:r>
      <w:r w:rsidR="006F2084">
        <w:rPr>
          <w:rFonts w:ascii="Arial" w:hAnsi="Arial" w:cs="Arial"/>
        </w:rPr>
        <w:t>U</w:t>
      </w:r>
      <w:r w:rsidRPr="001F26D4">
        <w:rPr>
          <w:rFonts w:ascii="Arial" w:hAnsi="Arial" w:cs="Arial"/>
        </w:rPr>
        <w:t>K GAAP</w:t>
      </w:r>
      <w:r w:rsidR="006F2084">
        <w:rPr>
          <w:rFonts w:ascii="Arial" w:hAnsi="Arial" w:cs="Arial"/>
        </w:rPr>
        <w:t xml:space="preserve"> result </w:t>
      </w:r>
      <w:r w:rsidRPr="001F26D4">
        <w:rPr>
          <w:rFonts w:ascii="Arial" w:hAnsi="Arial" w:cs="Arial"/>
        </w:rPr>
        <w:t xml:space="preserve">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34128E62" w14:textId="77777777" w:rsidR="001F26D4" w:rsidRPr="001F26D4" w:rsidRDefault="001F26D4"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6ED0CDC" w14:textId="77777777" w:rsidR="00B93D89" w:rsidRDefault="00B93D89"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rPr>
        <w: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1F26D4">
        <w:rPr>
          <w:rFonts w:ascii="Arial" w:hAnsi="Arial" w:cs="Arial"/>
          <w:color w:val="000000"/>
        </w:rPr>
        <w:t xml:space="preserve">The amounts in Column C will be valued based on Solvency II valuation.  The Solvency II amounts reported in column C are expected to be positive but there are cases where these amounts can be negative </w:t>
      </w:r>
      <w:r w:rsidR="00AD1F15">
        <w:rPr>
          <w:rFonts w:ascii="Arial" w:hAnsi="Arial" w:cs="Arial"/>
          <w:color w:val="000000"/>
        </w:rPr>
        <w:t xml:space="preserve">for instance </w:t>
      </w:r>
      <w:r w:rsidRPr="001F26D4">
        <w:rPr>
          <w:rFonts w:ascii="Arial" w:hAnsi="Arial" w:cs="Arial"/>
          <w:color w:val="000000"/>
        </w:rPr>
        <w:t xml:space="preserve">in respect of technical provisions best estimate where the cash in-flows </w:t>
      </w:r>
      <w:r w:rsidR="00AD1F15">
        <w:rPr>
          <w:rFonts w:ascii="Arial" w:hAnsi="Arial" w:cs="Arial"/>
          <w:color w:val="000000"/>
        </w:rPr>
        <w:t>are</w:t>
      </w:r>
      <w:r w:rsidRPr="001F26D4">
        <w:rPr>
          <w:rFonts w:ascii="Arial" w:hAnsi="Arial" w:cs="Arial"/>
          <w:color w:val="000000"/>
        </w:rPr>
        <w:t xml:space="preserve"> greater than cash out-flows. </w:t>
      </w:r>
    </w:p>
    <w:p w14:paraId="0F1323CC" w14:textId="77777777" w:rsidR="00B00E38" w:rsidRDefault="00B00E38" w:rsidP="00D71F3D">
      <w:pPr>
        <w:spacing w:after="120" w:line="280" w:lineRule="atLeast"/>
        <w:rPr>
          <w:rFonts w:ascii="Arial" w:hAnsi="Arial" w:cs="Arial"/>
          <w:b/>
          <w:bCs/>
          <w:lang w:val="en-US"/>
        </w:rPr>
      </w:pPr>
    </w:p>
    <w:p w14:paraId="6C5114B6" w14:textId="77777777" w:rsidR="009C32A0" w:rsidRDefault="009C32A0" w:rsidP="00D71F3D">
      <w:pPr>
        <w:spacing w:after="120" w:line="280" w:lineRule="atLeast"/>
        <w:rPr>
          <w:rFonts w:ascii="Arial" w:hAnsi="Arial" w:cs="Arial"/>
          <w:b/>
          <w:bCs/>
          <w:lang w:val="en-US"/>
        </w:rPr>
      </w:pPr>
      <w:r>
        <w:rPr>
          <w:rFonts w:ascii="Arial" w:hAnsi="Arial" w:cs="Arial"/>
          <w:b/>
          <w:bCs/>
          <w:lang w:val="en-US"/>
        </w:rPr>
        <w:t xml:space="preserve">Column C (Solvency II valuation) – specific </w:t>
      </w:r>
      <w:r w:rsidR="00F74E15">
        <w:rPr>
          <w:rFonts w:ascii="Arial" w:hAnsi="Arial" w:cs="Arial"/>
          <w:b/>
          <w:bCs/>
          <w:lang w:val="en-US"/>
        </w:rPr>
        <w:t xml:space="preserve">line </w:t>
      </w:r>
      <w:r>
        <w:rPr>
          <w:rFonts w:ascii="Arial" w:hAnsi="Arial" w:cs="Arial"/>
          <w:b/>
          <w:bCs/>
          <w:lang w:val="en-US"/>
        </w:rPr>
        <w:t>instructions</w:t>
      </w:r>
    </w:p>
    <w:p w14:paraId="7D946E85" w14:textId="77777777" w:rsidR="00F71763" w:rsidRDefault="005B00D1" w:rsidP="00D71F3D">
      <w:pPr>
        <w:spacing w:after="120" w:line="280" w:lineRule="atLeast"/>
        <w:rPr>
          <w:rFonts w:ascii="Arial" w:hAnsi="Arial" w:cs="Arial"/>
          <w:b/>
          <w:bCs/>
          <w:lang w:val="en-US"/>
        </w:rPr>
      </w:pPr>
      <w:r w:rsidRPr="005B00D1">
        <w:rPr>
          <w:rFonts w:ascii="Arial" w:hAnsi="Arial" w:cs="Arial"/>
          <w:b/>
          <w:bCs/>
          <w:lang w:val="en-US"/>
        </w:rPr>
        <w:t>Assets</w:t>
      </w:r>
      <w:r w:rsidR="001478C8">
        <w:rPr>
          <w:rFonts w:ascii="Arial" w:hAnsi="Arial" w:cs="Arial"/>
          <w:b/>
          <w:bCs/>
          <w:lang w:val="en-US"/>
        </w:rPr>
        <w:t xml:space="preserve"> </w:t>
      </w:r>
    </w:p>
    <w:p w14:paraId="4260CD71" w14:textId="77777777"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B93D89">
        <w:rPr>
          <w:rFonts w:ascii="Arial" w:hAnsi="Arial" w:cs="Arial"/>
          <w:b/>
        </w:rPr>
        <w:t>C</w:t>
      </w:r>
      <w:r w:rsidRPr="001B4618">
        <w:rPr>
          <w:rFonts w:ascii="Arial" w:hAnsi="Arial" w:cs="Arial"/>
          <w:b/>
        </w:rPr>
        <w:t xml:space="preserve">1 </w:t>
      </w:r>
      <w:r w:rsidR="00B7475B" w:rsidRPr="00D353C8">
        <w:rPr>
          <w:rFonts w:ascii="Arial" w:hAnsi="Arial" w:cs="Arial"/>
        </w:rPr>
        <w:t>–</w:t>
      </w:r>
      <w:r w:rsidRPr="001B4618">
        <w:rPr>
          <w:rFonts w:ascii="Arial" w:hAnsi="Arial" w:cs="Arial"/>
          <w:b/>
        </w:rPr>
        <w:t xml:space="preserve"> </w:t>
      </w:r>
      <w:r w:rsidRPr="001B4618">
        <w:rPr>
          <w:rFonts w:ascii="Arial" w:hAnsi="Arial" w:cs="Arial"/>
        </w:rPr>
        <w:t>Goodwill</w:t>
      </w:r>
      <w:r w:rsidR="00B7475B">
        <w:rPr>
          <w:rFonts w:ascii="Arial" w:hAnsi="Arial" w:cs="Arial"/>
        </w:rPr>
        <w:t xml:space="preserve"> (</w:t>
      </w:r>
      <w:r w:rsidR="00094E10">
        <w:rPr>
          <w:rFonts w:ascii="Arial" w:hAnsi="Arial" w:cs="Arial"/>
        </w:rPr>
        <w:t xml:space="preserve">EIOPA reference </w:t>
      </w:r>
      <w:r w:rsidR="00B7475B">
        <w:rPr>
          <w:rFonts w:ascii="Arial" w:hAnsi="Arial" w:cs="Arial"/>
        </w:rPr>
        <w:t>R0010, C0010)</w:t>
      </w:r>
      <w:r w:rsidRPr="001B4618">
        <w:rPr>
          <w:rFonts w:ascii="Arial" w:hAnsi="Arial" w:cs="Arial"/>
        </w:rPr>
        <w:t>: This is valued nil under Solvency II</w:t>
      </w:r>
    </w:p>
    <w:p w14:paraId="16B63BE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B93D89">
        <w:rPr>
          <w:rFonts w:ascii="Arial" w:hAnsi="Arial" w:cs="Arial"/>
          <w:b/>
          <w:color w:val="000000"/>
        </w:rPr>
        <w:t>C</w:t>
      </w:r>
      <w:r>
        <w:rPr>
          <w:rFonts w:ascii="Arial" w:hAnsi="Arial" w:cs="Arial"/>
          <w:b/>
          <w:color w:val="000000"/>
        </w:rPr>
        <w:t xml:space="preserve">2 </w:t>
      </w:r>
      <w:r w:rsidRPr="00247C18">
        <w:rPr>
          <w:rFonts w:ascii="Arial" w:hAnsi="Arial" w:cs="Arial"/>
          <w:color w:val="000000"/>
        </w:rPr>
        <w:t>– Deferred acquisition costs</w:t>
      </w:r>
      <w:r w:rsidR="00B7475B">
        <w:rPr>
          <w:rFonts w:ascii="Arial" w:hAnsi="Arial" w:cs="Arial"/>
          <w:color w:val="000000"/>
        </w:rPr>
        <w:t xml:space="preserve"> (R0020, C0010)</w:t>
      </w:r>
      <w:r w:rsidRPr="00247C18">
        <w:rPr>
          <w:rFonts w:ascii="Arial" w:hAnsi="Arial" w:cs="Arial"/>
          <w:color w:val="000000"/>
        </w:rPr>
        <w:t xml:space="preserve">: </w:t>
      </w:r>
      <w:r>
        <w:rPr>
          <w:rFonts w:ascii="Arial" w:hAnsi="Arial" w:cs="Arial"/>
          <w:color w:val="000000"/>
        </w:rPr>
        <w:t xml:space="preserve">There are no deferred acquisition costs under Solvency II </w:t>
      </w:r>
      <w:r w:rsidR="009231D6">
        <w:rPr>
          <w:rFonts w:ascii="Arial" w:hAnsi="Arial" w:cs="Arial"/>
          <w:color w:val="000000"/>
        </w:rPr>
        <w:t>given the cash</w:t>
      </w:r>
      <w:r w:rsidR="00705AD7">
        <w:rPr>
          <w:rFonts w:ascii="Arial" w:hAnsi="Arial" w:cs="Arial"/>
          <w:color w:val="000000"/>
        </w:rPr>
        <w:t xml:space="preserve"> </w:t>
      </w:r>
      <w:r w:rsidR="009231D6">
        <w:rPr>
          <w:rFonts w:ascii="Arial" w:hAnsi="Arial" w:cs="Arial"/>
          <w:color w:val="000000"/>
        </w:rPr>
        <w:t>flow nature of technical provisions</w:t>
      </w:r>
      <w:r>
        <w:rPr>
          <w:rFonts w:ascii="Arial" w:hAnsi="Arial" w:cs="Arial"/>
          <w:color w:val="000000"/>
        </w:rPr>
        <w:t xml:space="preserve">. Hence, no amount is expected within </w:t>
      </w:r>
      <w:r w:rsidR="00936A42">
        <w:rPr>
          <w:rFonts w:ascii="Arial" w:hAnsi="Arial" w:cs="Arial"/>
          <w:color w:val="000000"/>
        </w:rPr>
        <w:t>C</w:t>
      </w:r>
      <w:r>
        <w:rPr>
          <w:rFonts w:ascii="Arial" w:hAnsi="Arial" w:cs="Arial"/>
          <w:color w:val="000000"/>
        </w:rPr>
        <w:t xml:space="preserve">2. </w:t>
      </w:r>
    </w:p>
    <w:p w14:paraId="6824A3D8"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B93D89">
        <w:rPr>
          <w:rFonts w:ascii="Arial" w:hAnsi="Arial" w:cs="Arial"/>
          <w:b/>
          <w:color w:val="000000"/>
        </w:rPr>
        <w:t>C</w:t>
      </w:r>
      <w:r w:rsidR="00B93D89" w:rsidRPr="00885393">
        <w:rPr>
          <w:rFonts w:ascii="Arial" w:hAnsi="Arial" w:cs="Arial"/>
          <w:b/>
          <w:color w:val="000000"/>
        </w:rPr>
        <w:t>3</w:t>
      </w:r>
      <w:r w:rsidR="00B93D89">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ntangible assets</w:t>
      </w:r>
      <w:r w:rsidR="00B7475B">
        <w:rPr>
          <w:rFonts w:ascii="Arial" w:hAnsi="Arial" w:cs="Arial"/>
          <w:color w:val="000000"/>
        </w:rPr>
        <w:t xml:space="preserve"> (R0030, C0010)</w:t>
      </w:r>
      <w:r w:rsidRPr="00885393">
        <w:rPr>
          <w:rFonts w:ascii="Arial" w:hAnsi="Arial" w:cs="Arial"/>
          <w:color w:val="000000"/>
        </w:rPr>
        <w:t xml:space="preserve">: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60AE85A2"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4</w:t>
      </w:r>
      <w:r w:rsidR="00B93D89">
        <w:rPr>
          <w:rFonts w:ascii="Arial" w:hAnsi="Arial" w:cs="Arial"/>
          <w:color w:val="000000"/>
        </w:rPr>
        <w:t xml:space="preserve"> </w:t>
      </w:r>
      <w:r>
        <w:rPr>
          <w:rFonts w:ascii="Arial" w:hAnsi="Arial" w:cs="Arial"/>
          <w:color w:val="000000"/>
        </w:rPr>
        <w:t>– Deferred tax assets</w:t>
      </w:r>
      <w:r w:rsidR="00B7475B">
        <w:rPr>
          <w:rFonts w:ascii="Arial" w:hAnsi="Arial" w:cs="Arial"/>
          <w:color w:val="000000"/>
        </w:rPr>
        <w:t xml:space="preserve"> (R0040, C0010)</w:t>
      </w:r>
      <w:r>
        <w:rPr>
          <w:rFonts w:ascii="Arial" w:hAnsi="Arial" w:cs="Arial"/>
          <w:color w:val="000000"/>
        </w:rPr>
        <w:t>: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224994D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5</w:t>
      </w:r>
      <w:r w:rsidR="00B93D89">
        <w:rPr>
          <w:rFonts w:ascii="Arial" w:hAnsi="Arial" w:cs="Arial"/>
          <w:color w:val="000000"/>
        </w:rPr>
        <w:t xml:space="preserve"> </w:t>
      </w:r>
      <w:r>
        <w:rPr>
          <w:rFonts w:ascii="Arial" w:hAnsi="Arial" w:cs="Arial"/>
          <w:color w:val="000000"/>
        </w:rPr>
        <w:t>– Pension benefit surplus</w:t>
      </w:r>
      <w:r w:rsidR="00B7475B">
        <w:rPr>
          <w:rFonts w:ascii="Arial" w:hAnsi="Arial" w:cs="Arial"/>
          <w:color w:val="000000"/>
        </w:rPr>
        <w:t xml:space="preserve"> (R0050, C0010)</w:t>
      </w:r>
      <w:r>
        <w:rPr>
          <w:rFonts w:ascii="Arial" w:hAnsi="Arial" w:cs="Arial"/>
          <w:color w:val="000000"/>
        </w:rPr>
        <w:t>: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BDF885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6</w:t>
      </w:r>
      <w:r w:rsidR="00B93D89">
        <w:rPr>
          <w:rFonts w:ascii="Arial" w:hAnsi="Arial" w:cs="Arial"/>
          <w:color w:val="000000"/>
        </w:rPr>
        <w:t xml:space="preserve"> </w:t>
      </w:r>
      <w:r>
        <w:rPr>
          <w:rFonts w:ascii="Arial" w:hAnsi="Arial" w:cs="Arial"/>
          <w:color w:val="000000"/>
        </w:rPr>
        <w:t>– Property, plant &amp; equipment held for own use</w:t>
      </w:r>
      <w:r w:rsidR="00B7475B">
        <w:rPr>
          <w:rFonts w:ascii="Arial" w:hAnsi="Arial" w:cs="Arial"/>
          <w:color w:val="000000"/>
        </w:rPr>
        <w:t xml:space="preserve"> (R0060, C0010)</w:t>
      </w:r>
      <w:r>
        <w:rPr>
          <w:rFonts w:ascii="Arial" w:hAnsi="Arial" w:cs="Arial"/>
          <w:color w:val="000000"/>
        </w:rPr>
        <w:t>: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404526">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404526">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404526">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404526">
        <w:rPr>
          <w:rFonts w:ascii="Arial" w:hAnsi="Arial" w:cs="Arial"/>
          <w:color w:val="000000"/>
        </w:rPr>
        <w:t xml:space="preserve"> on QAD230</w:t>
      </w:r>
      <w:r w:rsidRPr="00C95A51">
        <w:rPr>
          <w:rFonts w:ascii="Arial" w:hAnsi="Arial" w:cs="Arial"/>
          <w:color w:val="000000"/>
        </w:rPr>
        <w:t xml:space="preserve">. </w:t>
      </w:r>
    </w:p>
    <w:p w14:paraId="497D7C9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 xml:space="preserve">7 </w:t>
      </w:r>
      <w:r w:rsidRPr="008C40F4">
        <w:rPr>
          <w:rFonts w:ascii="Arial" w:hAnsi="Arial" w:cs="Arial"/>
          <w:b/>
          <w:color w:val="000000"/>
        </w:rPr>
        <w:t xml:space="preserve">- </w:t>
      </w:r>
      <w:r w:rsidRPr="00DE27FE">
        <w:rPr>
          <w:rFonts w:ascii="Arial" w:hAnsi="Arial" w:cs="Arial"/>
          <w:color w:val="000000"/>
        </w:rPr>
        <w:t>Property (other than for own use)</w:t>
      </w:r>
      <w:r w:rsidR="00B7475B">
        <w:rPr>
          <w:rFonts w:ascii="Arial" w:hAnsi="Arial" w:cs="Arial"/>
          <w:color w:val="000000"/>
        </w:rPr>
        <w:t xml:space="preserve"> (R0080, C0010)</w:t>
      </w:r>
      <w:r w:rsidRPr="00DE27FE">
        <w:rPr>
          <w:rFonts w:ascii="Arial" w:hAnsi="Arial" w:cs="Arial"/>
          <w:color w:val="000000"/>
        </w:rPr>
        <w:t xml:space="preserv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estates,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00936A42">
        <w:rPr>
          <w:rFonts w:ascii="Arial" w:hAnsi="Arial" w:cs="Arial"/>
          <w:color w:val="000000"/>
        </w:rPr>
        <w:t>C</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B03606">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B03606">
        <w:rPr>
          <w:rFonts w:ascii="Arial" w:hAnsi="Arial" w:cs="Arial"/>
          <w:color w:val="000000"/>
        </w:rPr>
        <w:t>##</w:t>
      </w:r>
      <w:r w:rsidRPr="00A86BA3">
        <w:rPr>
          <w:rFonts w:ascii="Arial" w:hAnsi="Arial" w:cs="Arial"/>
          <w:color w:val="000000"/>
        </w:rPr>
        <w:t xml:space="preserve">92, </w:t>
      </w:r>
      <w:r w:rsidR="00B03606">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B03606">
        <w:rPr>
          <w:rFonts w:ascii="Arial" w:hAnsi="Arial" w:cs="Arial"/>
          <w:color w:val="000000"/>
        </w:rPr>
        <w:t>##</w:t>
      </w:r>
      <w:r w:rsidRPr="00C95A51">
        <w:rPr>
          <w:rFonts w:ascii="Arial" w:hAnsi="Arial" w:cs="Arial"/>
          <w:color w:val="000000"/>
        </w:rPr>
        <w:t>99</w:t>
      </w:r>
      <w:r w:rsidR="00B03606">
        <w:rPr>
          <w:rFonts w:ascii="Arial" w:hAnsi="Arial" w:cs="Arial"/>
          <w:color w:val="000000"/>
        </w:rPr>
        <w:t xml:space="preserve"> on QAD230</w:t>
      </w:r>
      <w:r w:rsidRPr="00C95A51">
        <w:rPr>
          <w:rFonts w:ascii="Arial" w:hAnsi="Arial" w:cs="Arial"/>
          <w:color w:val="000000"/>
        </w:rPr>
        <w:t>.</w:t>
      </w:r>
    </w:p>
    <w:p w14:paraId="6E20AB4D" w14:textId="77777777" w:rsidR="00AF07DA" w:rsidRPr="00FC472B"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8</w:t>
      </w:r>
      <w:r w:rsidR="00B93D89" w:rsidRPr="00DE27FE">
        <w:rPr>
          <w:rFonts w:ascii="Arial" w:hAnsi="Arial" w:cs="Arial"/>
          <w:color w:val="000000"/>
        </w:rPr>
        <w:t xml:space="preserve"> </w:t>
      </w:r>
      <w:r w:rsidRPr="00DE27FE">
        <w:rPr>
          <w:rFonts w:ascii="Arial" w:hAnsi="Arial" w:cs="Arial"/>
          <w:color w:val="000000"/>
        </w:rPr>
        <w:t xml:space="preserve">– </w:t>
      </w:r>
      <w:r w:rsidRPr="00AF59F3">
        <w:rPr>
          <w:rFonts w:ascii="Arial" w:hAnsi="Arial" w:cs="Arial"/>
          <w:color w:val="000000"/>
        </w:rPr>
        <w:t>Holdings in related undertakings, including participations</w:t>
      </w:r>
      <w:r w:rsidR="00B7475B">
        <w:rPr>
          <w:rFonts w:ascii="Arial" w:hAnsi="Arial" w:cs="Arial"/>
          <w:color w:val="000000"/>
        </w:rPr>
        <w:t xml:space="preserve"> (R0090, C0010)</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Pr="00B03606">
        <w:rPr>
          <w:rFonts w:ascii="Arial" w:hAnsi="Arial" w:cs="Arial"/>
          <w:lang w:val="en-US"/>
        </w:rPr>
        <w:t>.</w:t>
      </w:r>
      <w:r w:rsidRPr="00FC472B">
        <w:rPr>
          <w:rFonts w:ascii="Arial" w:hAnsi="Arial" w:cs="Arial"/>
          <w:lang w:val="en-US"/>
        </w:rPr>
        <w:t xml:space="preserve"> </w:t>
      </w:r>
      <w:r w:rsidR="00B03606" w:rsidRPr="00FC472B">
        <w:rPr>
          <w:rFonts w:ascii="Arial" w:hAnsi="Arial" w:cs="Arial"/>
          <w:lang w:val="en-US"/>
        </w:rPr>
        <w:t xml:space="preserve"> This amount relates to assets with a CIC of ##3# and ##4# </w:t>
      </w:r>
      <w:r w:rsidR="007F19FA">
        <w:rPr>
          <w:rFonts w:ascii="Arial" w:hAnsi="Arial" w:cs="Arial"/>
          <w:lang w:val="en-US"/>
        </w:rPr>
        <w:t>on QAD230 that are not held in index-linked.</w:t>
      </w:r>
    </w:p>
    <w:p w14:paraId="7658A700" w14:textId="77777777"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Line </w:t>
      </w:r>
      <w:r w:rsidR="00936A42">
        <w:rPr>
          <w:rFonts w:ascii="Arial" w:hAnsi="Arial" w:cs="Arial"/>
          <w:lang w:val="en-US"/>
        </w:rPr>
        <w:t>C</w:t>
      </w:r>
      <w:r w:rsidRPr="000E0E03">
        <w:rPr>
          <w:rFonts w:ascii="Arial" w:hAnsi="Arial" w:cs="Arial"/>
          <w:lang w:val="en-US"/>
        </w:rPr>
        <w:t>31.</w:t>
      </w:r>
    </w:p>
    <w:p w14:paraId="420B98EC"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9</w:t>
      </w:r>
      <w:r w:rsidR="00B93D89" w:rsidRPr="00346354">
        <w:rPr>
          <w:rFonts w:ascii="Arial" w:hAnsi="Arial" w:cs="Arial"/>
          <w:lang w:val="en-US"/>
        </w:rPr>
        <w:t xml:space="preserve"> </w:t>
      </w:r>
      <w:r w:rsidRPr="00346354">
        <w:rPr>
          <w:rFonts w:ascii="Arial" w:hAnsi="Arial" w:cs="Arial"/>
          <w:lang w:val="en-US"/>
        </w:rPr>
        <w:t>– Equities</w:t>
      </w:r>
      <w:r w:rsidR="00AD1F15">
        <w:rPr>
          <w:rFonts w:ascii="Arial" w:hAnsi="Arial" w:cs="Arial"/>
          <w:lang w:val="en-US"/>
        </w:rPr>
        <w:t xml:space="preserve"> </w:t>
      </w:r>
      <w:r w:rsidR="00B7475B">
        <w:rPr>
          <w:rFonts w:ascii="Arial" w:hAnsi="Arial" w:cs="Arial"/>
          <w:lang w:val="en-US"/>
        </w:rPr>
        <w:t>–</w:t>
      </w:r>
      <w:r w:rsidR="00AD1F15">
        <w:rPr>
          <w:rFonts w:ascii="Arial" w:hAnsi="Arial" w:cs="Arial"/>
          <w:lang w:val="en-US"/>
        </w:rPr>
        <w:t xml:space="preserve"> </w:t>
      </w:r>
      <w:r w:rsidRPr="00346354">
        <w:rPr>
          <w:rFonts w:ascii="Arial" w:hAnsi="Arial" w:cs="Arial"/>
          <w:lang w:val="en-US"/>
        </w:rPr>
        <w:t>listed</w:t>
      </w:r>
      <w:r w:rsidR="00B7475B">
        <w:rPr>
          <w:rFonts w:ascii="Arial" w:hAnsi="Arial" w:cs="Arial"/>
          <w:lang w:val="en-US"/>
        </w:rPr>
        <w:t xml:space="preserve"> (R0110, C0010)</w:t>
      </w:r>
      <w:r w:rsidRPr="00346354">
        <w:rPr>
          <w:rFonts w:ascii="Arial" w:hAnsi="Arial" w:cs="Arial"/>
          <w:lang w:val="en-US"/>
        </w:rPr>
        <w:t xml:space="preserve">: These are shares representing corporations’ capital, </w:t>
      </w:r>
      <w:r w:rsidR="008C2466"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000905E8">
        <w:rPr>
          <w:rFonts w:ascii="Arial" w:hAnsi="Arial" w:cs="Arial"/>
          <w:lang w:val="en-US"/>
        </w:rPr>
        <w:t>“H</w:t>
      </w:r>
      <w:r w:rsidRPr="00FB5BDC">
        <w:rPr>
          <w:rFonts w:ascii="Arial" w:hAnsi="Arial" w:cs="Arial"/>
          <w:lang w:val="en-US"/>
        </w:rPr>
        <w:t>oldings in related undertaking</w:t>
      </w:r>
      <w:r w:rsidRPr="001B4618">
        <w:rPr>
          <w:rFonts w:ascii="Arial" w:hAnsi="Arial" w:cs="Arial"/>
          <w:lang w:val="en-US"/>
        </w:rPr>
        <w:t>, including participations</w:t>
      </w:r>
      <w:r w:rsidR="000905E8">
        <w:rPr>
          <w:rFonts w:ascii="Arial" w:hAnsi="Arial" w:cs="Arial"/>
          <w:lang w:val="en-US"/>
        </w:rPr>
        <w:t xml:space="preserve">”, line </w:t>
      </w:r>
      <w:r w:rsidR="00936A42">
        <w:rPr>
          <w:rFonts w:ascii="Arial" w:hAnsi="Arial" w:cs="Arial"/>
          <w:lang w:val="en-US"/>
        </w:rPr>
        <w:t>C</w:t>
      </w:r>
      <w:r w:rsidR="000905E8">
        <w:rPr>
          <w:rFonts w:ascii="Arial" w:hAnsi="Arial" w:cs="Arial"/>
          <w:lang w:val="en-US"/>
        </w:rPr>
        <w:t>8</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51F65B31"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10</w:t>
      </w:r>
      <w:r w:rsidR="00B93D89" w:rsidRPr="00F521F1">
        <w:rPr>
          <w:rFonts w:ascii="Arial" w:hAnsi="Arial" w:cs="Arial"/>
          <w:lang w:val="en-US"/>
        </w:rPr>
        <w:t xml:space="preserve"> </w:t>
      </w:r>
      <w:r w:rsidRPr="00F521F1">
        <w:rPr>
          <w:rFonts w:ascii="Arial" w:hAnsi="Arial" w:cs="Arial"/>
          <w:lang w:val="en-US"/>
        </w:rPr>
        <w:t>– Equities –</w:t>
      </w:r>
      <w:r w:rsidR="00AD1F15">
        <w:rPr>
          <w:rFonts w:ascii="Arial" w:hAnsi="Arial" w:cs="Arial"/>
          <w:lang w:val="en-US"/>
        </w:rPr>
        <w:t xml:space="preserve"> </w:t>
      </w:r>
      <w:r w:rsidRPr="00F521F1">
        <w:rPr>
          <w:rFonts w:ascii="Arial" w:hAnsi="Arial" w:cs="Arial"/>
          <w:lang w:val="en-US"/>
        </w:rPr>
        <w:t>unlisted</w:t>
      </w:r>
      <w:r w:rsidR="00B7475B">
        <w:rPr>
          <w:rFonts w:ascii="Arial" w:hAnsi="Arial" w:cs="Arial"/>
          <w:lang w:val="en-US"/>
        </w:rPr>
        <w:t xml:space="preserve"> (R0120, C0010)</w:t>
      </w:r>
      <w:r w:rsidRPr="00F521F1">
        <w:rPr>
          <w:rFonts w:ascii="Arial" w:hAnsi="Arial" w:cs="Arial"/>
          <w:lang w:val="en-US"/>
        </w:rPr>
        <w:t xml:space="preserve">: These are shares representing corporations’ capital, </w:t>
      </w:r>
      <w:r w:rsidR="008C2466"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w:t>
      </w:r>
      <w:r w:rsidR="000905E8">
        <w:rPr>
          <w:rFonts w:ascii="Arial" w:hAnsi="Arial" w:cs="Arial"/>
          <w:lang w:val="en-US"/>
        </w:rPr>
        <w:t>“H</w:t>
      </w:r>
      <w:r w:rsidRPr="00346354">
        <w:rPr>
          <w:rFonts w:ascii="Arial" w:hAnsi="Arial" w:cs="Arial"/>
          <w:lang w:val="en-US"/>
        </w:rPr>
        <w:t xml:space="preserve">oldings in related undertaking, including </w:t>
      </w:r>
      <w:r w:rsidRPr="00FB5BDC">
        <w:rPr>
          <w:rFonts w:ascii="Arial" w:hAnsi="Arial" w:cs="Arial"/>
          <w:lang w:val="en-US"/>
        </w:rPr>
        <w:t>participations</w:t>
      </w:r>
      <w:r w:rsidR="000905E8">
        <w:rPr>
          <w:rFonts w:ascii="Arial" w:hAnsi="Arial" w:cs="Arial"/>
          <w:lang w:val="en-US"/>
        </w:rPr>
        <w:t xml:space="preserve">”, line </w:t>
      </w:r>
      <w:r w:rsidR="008E62B5">
        <w:rPr>
          <w:rFonts w:ascii="Arial" w:hAnsi="Arial" w:cs="Arial"/>
          <w:lang w:val="en-US"/>
        </w:rPr>
        <w:t>C</w:t>
      </w:r>
      <w:r w:rsidR="000905E8">
        <w:rPr>
          <w:rFonts w:ascii="Arial" w:hAnsi="Arial" w:cs="Arial"/>
          <w:lang w:val="en-US"/>
        </w:rPr>
        <w:t>8</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73154F3F" w14:textId="77777777" w:rsidR="00AF07DA" w:rsidRPr="000E0E03" w:rsidRDefault="00AF07DA" w:rsidP="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w:t>
      </w:r>
      <w:r w:rsidR="00B93D89" w:rsidRPr="00346354">
        <w:rPr>
          <w:rFonts w:ascii="Arial" w:hAnsi="Arial" w:cs="Arial"/>
          <w:b/>
          <w:color w:val="000000"/>
        </w:rPr>
        <w:t>2</w:t>
      </w:r>
      <w:r w:rsidR="00B93D89" w:rsidRPr="00346354">
        <w:rPr>
          <w:rFonts w:ascii="Arial" w:hAnsi="Arial" w:cs="Arial"/>
          <w:color w:val="000000"/>
        </w:rPr>
        <w:t xml:space="preserve"> </w:t>
      </w:r>
      <w:r w:rsidRPr="00346354">
        <w:rPr>
          <w:rFonts w:ascii="Arial" w:hAnsi="Arial" w:cs="Arial"/>
          <w:color w:val="000000"/>
        </w:rPr>
        <w:t xml:space="preserve">– Government </w:t>
      </w:r>
      <w:r w:rsidRPr="00FB5BDC">
        <w:rPr>
          <w:rFonts w:ascii="Arial" w:hAnsi="Arial" w:cs="Arial"/>
          <w:color w:val="000000"/>
        </w:rPr>
        <w:t>Bonds</w:t>
      </w:r>
      <w:r w:rsidR="00B7475B">
        <w:rPr>
          <w:rFonts w:ascii="Arial" w:hAnsi="Arial" w:cs="Arial"/>
          <w:color w:val="000000"/>
        </w:rPr>
        <w:t xml:space="preserve"> (R0140, C0010)</w:t>
      </w:r>
      <w:r w:rsidRPr="00FB5BDC">
        <w:rPr>
          <w:rFonts w:ascii="Arial" w:hAnsi="Arial" w:cs="Arial"/>
          <w:color w:val="000000"/>
        </w:rPr>
        <w:t>: These are bonds issued by public authorities, whether by central gover</w:t>
      </w:r>
      <w:r w:rsidRPr="001B4618">
        <w:rPr>
          <w:rFonts w:ascii="Arial" w:hAnsi="Arial" w:cs="Arial"/>
          <w:color w:val="000000"/>
        </w:rPr>
        <w:t xml:space="preserve">nment, supra-national government institutions, regional governments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 xml:space="preserve">with a CIC category of </w:t>
      </w:r>
      <w:r w:rsidRPr="000E0E03">
        <w:rPr>
          <w:rFonts w:ascii="Arial" w:hAnsi="Arial" w:cs="Arial"/>
          <w:color w:val="000000"/>
        </w:rPr>
        <w:lastRenderedPageBreak/>
        <w:t>##1#</w:t>
      </w:r>
      <w:r w:rsidR="00FC472B">
        <w:rPr>
          <w:rFonts w:ascii="Arial" w:hAnsi="Arial" w:cs="Arial"/>
          <w:color w:val="000000"/>
        </w:rPr>
        <w:t xml:space="preserve"> on QAD230</w:t>
      </w:r>
      <w:r w:rsidRPr="000E0E03">
        <w:rPr>
          <w:rFonts w:ascii="Arial" w:hAnsi="Arial" w:cs="Arial"/>
          <w:color w:val="000000"/>
        </w:rPr>
        <w:t xml:space="preserve">. </w:t>
      </w:r>
    </w:p>
    <w:p w14:paraId="138E2C09" w14:textId="77777777" w:rsidR="00AF07DA" w:rsidRPr="000E0E03" w:rsidRDefault="00AF07DA" w:rsidP="00FC472B">
      <w:pPr>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13</w:t>
      </w:r>
      <w:r w:rsidR="00B93D89" w:rsidRPr="00F521F1">
        <w:rPr>
          <w:rFonts w:ascii="Arial" w:hAnsi="Arial" w:cs="Arial"/>
          <w:color w:val="000000"/>
        </w:rPr>
        <w:t xml:space="preserve"> </w:t>
      </w:r>
      <w:r w:rsidRPr="00F521F1">
        <w:rPr>
          <w:rFonts w:ascii="Arial" w:hAnsi="Arial" w:cs="Arial"/>
          <w:color w:val="000000"/>
        </w:rPr>
        <w:t>– Corporate Bonds</w:t>
      </w:r>
      <w:r w:rsidR="00975148">
        <w:rPr>
          <w:rFonts w:ascii="Arial" w:hAnsi="Arial" w:cs="Arial"/>
          <w:color w:val="000000"/>
        </w:rPr>
        <w:t xml:space="preserve"> (R0150, C0010)</w:t>
      </w:r>
      <w:r w:rsidRPr="00F521F1">
        <w:rPr>
          <w:rFonts w:ascii="Arial" w:hAnsi="Arial" w:cs="Arial"/>
          <w:color w:val="000000"/>
        </w:rPr>
        <w:t xml:space="preserve">: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7F19FA">
        <w:rPr>
          <w:rFonts w:ascii="Arial" w:hAnsi="Arial" w:cs="Arial"/>
          <w:color w:val="000000"/>
        </w:rPr>
        <w:t xml:space="preserve"> on QAD230</w:t>
      </w:r>
      <w:r w:rsidRPr="00FB5BDC">
        <w:rPr>
          <w:rFonts w:ascii="Arial" w:hAnsi="Arial" w:cs="Arial"/>
          <w:color w:val="000000"/>
        </w:rPr>
        <w:t>.</w:t>
      </w:r>
      <w:r w:rsidRPr="000E0E03">
        <w:rPr>
          <w:rFonts w:ascii="Arial" w:hAnsi="Arial" w:cs="Arial"/>
          <w:lang w:val="en-US"/>
        </w:rPr>
        <w:t xml:space="preserve"> </w:t>
      </w:r>
    </w:p>
    <w:p w14:paraId="503C0A65" w14:textId="77777777" w:rsidR="00AF07DA" w:rsidRPr="000E0E03" w:rsidRDefault="00453E31" w:rsidP="00FC472B">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B93D89">
        <w:rPr>
          <w:rFonts w:ascii="Arial" w:hAnsi="Arial" w:cs="Arial"/>
          <w:b/>
          <w:color w:val="000000"/>
        </w:rPr>
        <w:t>C</w:t>
      </w:r>
      <w:r w:rsidR="00B93D89" w:rsidRPr="00F521F1">
        <w:rPr>
          <w:rFonts w:ascii="Arial" w:hAnsi="Arial" w:cs="Arial"/>
          <w:b/>
          <w:color w:val="000000"/>
        </w:rPr>
        <w:t>14</w:t>
      </w:r>
      <w:r w:rsidR="00B93D89" w:rsidRPr="00346354">
        <w:rPr>
          <w:rFonts w:ascii="Arial" w:hAnsi="Arial" w:cs="Arial"/>
          <w:color w:val="000000"/>
        </w:rPr>
        <w:t xml:space="preserve"> </w:t>
      </w:r>
      <w:r w:rsidR="00AF07DA" w:rsidRPr="00346354">
        <w:rPr>
          <w:rFonts w:ascii="Arial" w:hAnsi="Arial" w:cs="Arial"/>
          <w:color w:val="000000"/>
        </w:rPr>
        <w:t>– Structured notes</w:t>
      </w:r>
      <w:r w:rsidR="00975148">
        <w:rPr>
          <w:rFonts w:ascii="Arial" w:hAnsi="Arial" w:cs="Arial"/>
          <w:color w:val="000000"/>
        </w:rPr>
        <w:t xml:space="preserve"> (R0160, C0010)</w:t>
      </w:r>
      <w:r w:rsidR="00AF07DA" w:rsidRPr="00346354">
        <w:rPr>
          <w:rFonts w:ascii="Arial" w:hAnsi="Arial" w:cs="Arial"/>
          <w:color w:val="000000"/>
        </w:rPr>
        <w: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7F19FA">
        <w:rPr>
          <w:rFonts w:ascii="Arial" w:hAnsi="Arial" w:cs="Arial"/>
          <w:color w:val="000000"/>
        </w:rPr>
        <w:t xml:space="preserve"> on QAD230</w:t>
      </w:r>
      <w:r w:rsidR="00AF07DA" w:rsidRPr="00FB5BDC">
        <w:rPr>
          <w:rFonts w:ascii="Arial" w:hAnsi="Arial" w:cs="Arial"/>
          <w:color w:val="000000"/>
        </w:rPr>
        <w:t>.</w:t>
      </w:r>
      <w:r w:rsidR="00AF07DA" w:rsidRPr="000E0E03">
        <w:rPr>
          <w:rFonts w:ascii="Arial" w:hAnsi="Arial" w:cs="Arial"/>
          <w:lang w:val="en-US"/>
        </w:rPr>
        <w:t xml:space="preserve"> </w:t>
      </w:r>
    </w:p>
    <w:p w14:paraId="2A679637" w14:textId="77777777" w:rsidR="00AF07DA" w:rsidRPr="000E0E03" w:rsidRDefault="00AF07DA" w:rsidP="00FC472B">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15</w:t>
      </w:r>
      <w:r w:rsidR="00B93D89" w:rsidRPr="00F521F1">
        <w:rPr>
          <w:rFonts w:ascii="Arial" w:hAnsi="Arial" w:cs="Arial"/>
          <w:color w:val="000000"/>
        </w:rPr>
        <w:t xml:space="preserve"> </w:t>
      </w:r>
      <w:r w:rsidRPr="00F521F1">
        <w:rPr>
          <w:rFonts w:ascii="Arial" w:hAnsi="Arial" w:cs="Arial"/>
          <w:color w:val="000000"/>
        </w:rPr>
        <w:t>– Collateralised securities</w:t>
      </w:r>
      <w:r w:rsidR="00975148">
        <w:rPr>
          <w:rFonts w:ascii="Arial" w:hAnsi="Arial" w:cs="Arial"/>
          <w:color w:val="000000"/>
        </w:rPr>
        <w:t xml:space="preserve"> </w:t>
      </w:r>
      <w:r w:rsidR="00477F1F">
        <w:rPr>
          <w:rFonts w:ascii="Arial" w:hAnsi="Arial" w:cs="Arial"/>
          <w:color w:val="000000"/>
        </w:rPr>
        <w:t>(</w:t>
      </w:r>
      <w:r w:rsidR="00975148">
        <w:rPr>
          <w:rFonts w:ascii="Arial" w:hAnsi="Arial" w:cs="Arial"/>
          <w:color w:val="000000"/>
        </w:rPr>
        <w:t>R0170, C0010)</w:t>
      </w:r>
      <w:r w:rsidRPr="00F521F1">
        <w:rPr>
          <w:rFonts w:ascii="Arial" w:hAnsi="Arial" w:cs="Arial"/>
          <w:color w:val="000000"/>
        </w:rPr>
        <w:t xml:space="preserve">: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Mortgage Backed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 xml:space="preserve">ecurities (CMBS), </w:t>
      </w:r>
      <w:proofErr w:type="spellStart"/>
      <w:r w:rsidRPr="00346354">
        <w:rPr>
          <w:rFonts w:ascii="Arial" w:hAnsi="Arial" w:cs="Arial"/>
          <w:lang w:val="en-US"/>
        </w:rPr>
        <w:t>Collateralised</w:t>
      </w:r>
      <w:proofErr w:type="spellEnd"/>
      <w:r w:rsidRPr="00346354">
        <w:rPr>
          <w:rFonts w:ascii="Arial" w:hAnsi="Arial" w:cs="Arial"/>
          <w:lang w:val="en-US"/>
        </w:rPr>
        <w:t xml:space="preserve"> Debt Obligations (CDO), </w:t>
      </w:r>
      <w:proofErr w:type="spellStart"/>
      <w:r w:rsidRPr="00346354">
        <w:rPr>
          <w:rFonts w:ascii="Arial" w:hAnsi="Arial" w:cs="Arial"/>
          <w:lang w:val="en-US"/>
        </w:rPr>
        <w:t>Collatera</w:t>
      </w:r>
      <w:r w:rsidRPr="00FB5BDC">
        <w:rPr>
          <w:rFonts w:ascii="Arial" w:hAnsi="Arial" w:cs="Arial"/>
          <w:lang w:val="en-US"/>
        </w:rPr>
        <w:t>l</w:t>
      </w:r>
      <w:r w:rsidRPr="001B4618">
        <w:rPr>
          <w:rFonts w:ascii="Arial" w:hAnsi="Arial" w:cs="Arial"/>
          <w:lang w:val="en-US"/>
        </w:rPr>
        <w:t>ised</w:t>
      </w:r>
      <w:proofErr w:type="spellEnd"/>
      <w:r w:rsidRPr="001B4618">
        <w:rPr>
          <w:rFonts w:ascii="Arial" w:hAnsi="Arial" w:cs="Arial"/>
          <w:lang w:val="en-US"/>
        </w:rPr>
        <w:t xml:space="preserve"> Loan Obligations (CLO) and </w:t>
      </w:r>
      <w:proofErr w:type="spellStart"/>
      <w:r w:rsidRPr="001B4618">
        <w:rPr>
          <w:rFonts w:ascii="Arial" w:hAnsi="Arial" w:cs="Arial"/>
          <w:lang w:val="en-US"/>
        </w:rPr>
        <w:t>Collateralised</w:t>
      </w:r>
      <w:proofErr w:type="spellEnd"/>
      <w:r w:rsidRPr="001B4618">
        <w:rPr>
          <w:rFonts w:ascii="Arial" w:hAnsi="Arial" w:cs="Arial"/>
          <w:lang w:val="en-US"/>
        </w:rPr>
        <w:t xml:space="preserve">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7F19FA">
        <w:rPr>
          <w:rFonts w:ascii="Arial" w:hAnsi="Arial" w:cs="Arial"/>
          <w:color w:val="000000"/>
        </w:rPr>
        <w:t xml:space="preserve"> on QAD230</w:t>
      </w:r>
      <w:r w:rsidRPr="000E0E03">
        <w:rPr>
          <w:rFonts w:ascii="Arial" w:hAnsi="Arial" w:cs="Arial"/>
          <w:color w:val="000000"/>
        </w:rPr>
        <w:t>.</w:t>
      </w:r>
      <w:r w:rsidRPr="000E0E03">
        <w:rPr>
          <w:rFonts w:ascii="Arial" w:hAnsi="Arial" w:cs="Arial"/>
          <w:lang w:val="en-US"/>
        </w:rPr>
        <w:t xml:space="preserve"> </w:t>
      </w:r>
    </w:p>
    <w:p w14:paraId="7EC5DAF4" w14:textId="77777777" w:rsidR="006B3ACE" w:rsidRDefault="006B3ACE"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62FA876E" w14:textId="59F09D0D"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t xml:space="preserve">Lines </w:t>
      </w:r>
      <w:r w:rsidR="00B93D89">
        <w:rPr>
          <w:rFonts w:ascii="Arial" w:hAnsi="Arial" w:cs="Arial"/>
          <w:b/>
          <w:color w:val="000000"/>
          <w:lang w:val="en-US"/>
        </w:rPr>
        <w:t>C</w:t>
      </w:r>
      <w:r w:rsidR="00B93D89" w:rsidRPr="00346354">
        <w:rPr>
          <w:rFonts w:ascii="Arial" w:hAnsi="Arial" w:cs="Arial"/>
          <w:b/>
          <w:color w:val="000000"/>
          <w:lang w:val="en-US"/>
        </w:rPr>
        <w:t xml:space="preserve">17 </w:t>
      </w:r>
      <w:r w:rsidR="002A3361">
        <w:rPr>
          <w:rFonts w:ascii="Arial" w:hAnsi="Arial" w:cs="Arial"/>
          <w:b/>
          <w:color w:val="000000"/>
          <w:lang w:val="en-US"/>
        </w:rPr>
        <w:t>to</w:t>
      </w:r>
      <w:r w:rsidRPr="00346354">
        <w:rPr>
          <w:rFonts w:ascii="Arial" w:hAnsi="Arial" w:cs="Arial"/>
          <w:b/>
          <w:color w:val="000000"/>
          <w:lang w:val="en-US"/>
        </w:rPr>
        <w:t xml:space="preserve"> </w:t>
      </w:r>
      <w:r w:rsidR="00B93D89">
        <w:rPr>
          <w:rFonts w:ascii="Arial" w:hAnsi="Arial" w:cs="Arial"/>
          <w:b/>
          <w:color w:val="000000"/>
          <w:lang w:val="en-US"/>
        </w:rPr>
        <w:t>C</w:t>
      </w:r>
      <w:r w:rsidR="00B93D89" w:rsidRPr="00346354">
        <w:rPr>
          <w:rFonts w:ascii="Arial" w:hAnsi="Arial" w:cs="Arial"/>
          <w:b/>
          <w:color w:val="000000"/>
          <w:lang w:val="en-US"/>
        </w:rPr>
        <w:t>2</w:t>
      </w:r>
      <w:r w:rsidR="002A3361">
        <w:rPr>
          <w:rFonts w:ascii="Arial" w:hAnsi="Arial" w:cs="Arial"/>
          <w:b/>
          <w:color w:val="000000"/>
          <w:lang w:val="en-US"/>
        </w:rPr>
        <w:t>5</w:t>
      </w:r>
      <w:r w:rsidR="00B93D89" w:rsidRPr="00346354">
        <w:rPr>
          <w:rFonts w:ascii="Arial" w:hAnsi="Arial" w:cs="Arial"/>
          <w:b/>
          <w:color w:val="000000"/>
          <w:lang w:val="en-US"/>
        </w:rPr>
        <w:t xml:space="preserve"> </w:t>
      </w:r>
      <w:r w:rsidRPr="00346354">
        <w:rPr>
          <w:rFonts w:ascii="Arial" w:hAnsi="Arial" w:cs="Arial"/>
          <w:color w:val="000000"/>
          <w:lang w:val="en-US"/>
        </w:rPr>
        <w:t xml:space="preserve">– </w:t>
      </w:r>
      <w:r w:rsidRPr="00FB5BDC">
        <w:rPr>
          <w:rFonts w:ascii="Arial" w:hAnsi="Arial" w:cs="Arial"/>
          <w:color w:val="000000"/>
          <w:lang w:val="en-US"/>
        </w:rPr>
        <w:t>Collective investment undertaking</w:t>
      </w:r>
      <w:r w:rsidRPr="001B4618">
        <w:rPr>
          <w:rFonts w:ascii="Arial" w:hAnsi="Arial" w:cs="Arial"/>
          <w:color w:val="000000"/>
          <w:lang w:val="en-US"/>
        </w:rPr>
        <w:t>: These should include all the funds (including money market funds)</w:t>
      </w:r>
      <w:r w:rsidR="000905E8">
        <w:rPr>
          <w:rFonts w:ascii="Arial" w:hAnsi="Arial" w:cs="Arial"/>
          <w:color w:val="000000"/>
          <w:lang w:val="en-US"/>
        </w:rPr>
        <w:t xml:space="preserve"> and </w:t>
      </w:r>
      <w:r w:rsidR="000905E8" w:rsidRPr="001603F1">
        <w:rPr>
          <w:rFonts w:ascii="Arial" w:hAnsi="Arial" w:cs="Arial"/>
          <w:lang w:val="en-US"/>
        </w:rPr>
        <w:t>collective investment in transferable securities</w:t>
      </w:r>
      <w:r w:rsidRPr="001B4618">
        <w:rPr>
          <w:rFonts w:ascii="Arial" w:hAnsi="Arial" w:cs="Arial"/>
          <w:color w:val="000000"/>
          <w:lang w:val="en-US"/>
        </w:rPr>
        <w:t xml:space="preserve"> that are held by the syndicate. </w:t>
      </w:r>
      <w:r w:rsidR="007F19FA">
        <w:rPr>
          <w:rFonts w:ascii="Arial" w:hAnsi="Arial" w:cs="Arial"/>
          <w:color w:val="000000"/>
          <w:lang w:val="en-US"/>
        </w:rPr>
        <w:t xml:space="preserve">This amount relates to assets with a CIC category of ##4# </w:t>
      </w:r>
      <w:r w:rsidR="00731583">
        <w:rPr>
          <w:rFonts w:ascii="Arial" w:hAnsi="Arial" w:cs="Arial"/>
          <w:color w:val="000000"/>
          <w:lang w:val="en-US"/>
        </w:rPr>
        <w:t xml:space="preserve">and they are not held in index-linked and unit-linked contracts </w:t>
      </w:r>
      <w:r w:rsidR="007F19FA">
        <w:rPr>
          <w:rFonts w:ascii="Arial" w:hAnsi="Arial" w:cs="Arial"/>
          <w:color w:val="000000"/>
          <w:lang w:val="en-US"/>
        </w:rPr>
        <w:t xml:space="preserve">on QAD230.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402A83CB"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w:t>
      </w:r>
      <w:r w:rsidR="00B93D89">
        <w:rPr>
          <w:rFonts w:ascii="Arial" w:hAnsi="Arial" w:cs="Arial"/>
          <w:color w:val="000000"/>
        </w:rPr>
        <w:t>C17</w:t>
      </w:r>
      <w:r w:rsidR="009A2CC5">
        <w:rPr>
          <w:rFonts w:ascii="Arial" w:hAnsi="Arial" w:cs="Arial"/>
          <w:color w:val="000000"/>
        </w:rPr>
        <w:t>)</w:t>
      </w:r>
      <w:r w:rsidRPr="000E0E03">
        <w:rPr>
          <w:rFonts w:ascii="Arial" w:hAnsi="Arial" w:cs="Arial"/>
          <w:color w:val="000000"/>
        </w:rPr>
        <w:t xml:space="preserve"> – CIC ##41</w:t>
      </w:r>
    </w:p>
    <w:p w14:paraId="3A0ECDC0"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w:t>
      </w:r>
      <w:r w:rsidR="00B93D89">
        <w:rPr>
          <w:rFonts w:ascii="Arial" w:hAnsi="Arial" w:cs="Arial"/>
          <w:color w:val="000000"/>
        </w:rPr>
        <w:t>C18</w:t>
      </w:r>
      <w:r w:rsidR="009A2CC5">
        <w:rPr>
          <w:rFonts w:ascii="Arial" w:hAnsi="Arial" w:cs="Arial"/>
          <w:color w:val="000000"/>
        </w:rPr>
        <w:t xml:space="preserve">) </w:t>
      </w:r>
      <w:r w:rsidRPr="000E0E03">
        <w:rPr>
          <w:rFonts w:ascii="Arial" w:hAnsi="Arial" w:cs="Arial"/>
          <w:color w:val="000000"/>
        </w:rPr>
        <w:t>– CIC ##42</w:t>
      </w:r>
    </w:p>
    <w:p w14:paraId="64F811C5"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C19</w:t>
      </w:r>
      <w:r w:rsidR="009A2CC5">
        <w:rPr>
          <w:rFonts w:ascii="Arial" w:hAnsi="Arial" w:cs="Arial"/>
          <w:color w:val="000000"/>
        </w:rPr>
        <w:t xml:space="preserve">) </w:t>
      </w:r>
      <w:r w:rsidRPr="00B8656B">
        <w:rPr>
          <w:rFonts w:ascii="Arial" w:hAnsi="Arial" w:cs="Arial"/>
          <w:color w:val="000000"/>
        </w:rPr>
        <w:t>– CIC ##43</w:t>
      </w:r>
    </w:p>
    <w:p w14:paraId="1BCE964C"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w:t>
      </w:r>
      <w:r w:rsidR="00B93D89">
        <w:rPr>
          <w:rFonts w:ascii="Arial" w:hAnsi="Arial" w:cs="Arial"/>
          <w:color w:val="000000"/>
        </w:rPr>
        <w:t>C20</w:t>
      </w:r>
      <w:r w:rsidR="009A2CC5">
        <w:rPr>
          <w:rFonts w:ascii="Arial" w:hAnsi="Arial" w:cs="Arial"/>
          <w:color w:val="000000"/>
        </w:rPr>
        <w:t xml:space="preserve">) </w:t>
      </w:r>
      <w:r w:rsidRPr="00B8656B">
        <w:rPr>
          <w:rFonts w:ascii="Arial" w:hAnsi="Arial" w:cs="Arial"/>
          <w:color w:val="000000"/>
        </w:rPr>
        <w:t>– CIC ##44</w:t>
      </w:r>
    </w:p>
    <w:p w14:paraId="5F68B261"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w:t>
      </w:r>
      <w:r w:rsidR="00B93D89">
        <w:rPr>
          <w:rFonts w:ascii="Arial" w:hAnsi="Arial" w:cs="Arial"/>
          <w:color w:val="000000"/>
        </w:rPr>
        <w:t>C21</w:t>
      </w:r>
      <w:r w:rsidR="009A2CC5">
        <w:rPr>
          <w:rFonts w:ascii="Arial" w:hAnsi="Arial" w:cs="Arial"/>
          <w:color w:val="000000"/>
        </w:rPr>
        <w:t xml:space="preserve">) </w:t>
      </w:r>
      <w:r w:rsidRPr="00B8656B">
        <w:rPr>
          <w:rFonts w:ascii="Arial" w:hAnsi="Arial" w:cs="Arial"/>
          <w:color w:val="000000"/>
        </w:rPr>
        <w:t>– CIC ##45</w:t>
      </w:r>
    </w:p>
    <w:p w14:paraId="4E902C19"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w:t>
      </w:r>
      <w:r w:rsidR="00B93D89">
        <w:rPr>
          <w:rFonts w:ascii="Arial" w:hAnsi="Arial" w:cs="Arial"/>
          <w:color w:val="000000"/>
        </w:rPr>
        <w:t>C22</w:t>
      </w:r>
      <w:r w:rsidR="009A2CC5">
        <w:rPr>
          <w:rFonts w:ascii="Arial" w:hAnsi="Arial" w:cs="Arial"/>
          <w:color w:val="000000"/>
        </w:rPr>
        <w:t xml:space="preserve">) </w:t>
      </w:r>
      <w:r w:rsidRPr="00B8656B">
        <w:rPr>
          <w:rFonts w:ascii="Arial" w:hAnsi="Arial" w:cs="Arial"/>
          <w:color w:val="000000"/>
        </w:rPr>
        <w:t>– CIC ##46</w:t>
      </w:r>
    </w:p>
    <w:p w14:paraId="0BF89466" w14:textId="77777777" w:rsidR="00AF07DA" w:rsidRPr="00B8656B" w:rsidRDefault="009407F8"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F5950">
        <w:rPr>
          <w:rFonts w:ascii="Arial" w:hAnsi="Arial" w:cs="Arial"/>
        </w:rPr>
        <w:t>Alternative investment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C23</w:t>
      </w:r>
      <w:r w:rsidR="009A2CC5">
        <w:rPr>
          <w:rFonts w:ascii="Arial" w:hAnsi="Arial" w:cs="Arial"/>
          <w:color w:val="000000"/>
        </w:rPr>
        <w:t xml:space="preserve">) </w:t>
      </w:r>
      <w:r w:rsidR="00AF07DA" w:rsidRPr="00B8656B">
        <w:rPr>
          <w:rFonts w:ascii="Arial" w:hAnsi="Arial" w:cs="Arial"/>
          <w:color w:val="000000"/>
        </w:rPr>
        <w:t>– CIC ##47</w:t>
      </w:r>
    </w:p>
    <w:p w14:paraId="5A61D44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w:t>
      </w:r>
      <w:r w:rsidR="00B93D89">
        <w:rPr>
          <w:rFonts w:ascii="Arial" w:hAnsi="Arial" w:cs="Arial"/>
          <w:color w:val="000000"/>
        </w:rPr>
        <w:t>C24</w:t>
      </w:r>
      <w:r w:rsidR="009A2CC5">
        <w:rPr>
          <w:rFonts w:ascii="Arial" w:hAnsi="Arial" w:cs="Arial"/>
          <w:color w:val="000000"/>
        </w:rPr>
        <w:t xml:space="preserve">) </w:t>
      </w:r>
      <w:r w:rsidRPr="00B8656B">
        <w:rPr>
          <w:rFonts w:ascii="Arial" w:hAnsi="Arial" w:cs="Arial"/>
          <w:color w:val="000000"/>
        </w:rPr>
        <w:t>– CIC ##48</w:t>
      </w:r>
    </w:p>
    <w:p w14:paraId="761AD0E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w:t>
      </w:r>
      <w:r w:rsidR="00B93D89">
        <w:rPr>
          <w:rFonts w:ascii="Arial" w:hAnsi="Arial" w:cs="Arial"/>
          <w:color w:val="000000"/>
        </w:rPr>
        <w:t>C25</w:t>
      </w:r>
      <w:r w:rsidR="009A2CC5">
        <w:rPr>
          <w:rFonts w:ascii="Arial" w:hAnsi="Arial" w:cs="Arial"/>
          <w:color w:val="000000"/>
        </w:rPr>
        <w:t xml:space="preserve">) </w:t>
      </w:r>
      <w:r w:rsidRPr="00B8656B">
        <w:rPr>
          <w:rFonts w:ascii="Arial" w:hAnsi="Arial" w:cs="Arial"/>
          <w:color w:val="000000"/>
        </w:rPr>
        <w:t>– CIC ##49</w:t>
      </w:r>
    </w:p>
    <w:p w14:paraId="7DCE52C9" w14:textId="77777777" w:rsidR="00187FB0" w:rsidRPr="006C6FB3" w:rsidRDefault="004A1C88" w:rsidP="00661F00">
      <w:pPr>
        <w:keepNext/>
        <w:autoSpaceDE w:val="0"/>
        <w:autoSpaceDN w:val="0"/>
        <w:spacing w:after="120" w:line="320" w:lineRule="atLeast"/>
        <w:outlineLvl w:val="1"/>
        <w:rPr>
          <w:rFonts w:ascii="Arial" w:hAnsi="Arial" w:cs="Arial"/>
          <w:lang w:val="en-US"/>
        </w:rPr>
      </w:pPr>
      <w:r w:rsidRPr="00B8656B">
        <w:rPr>
          <w:rFonts w:ascii="Arial" w:hAnsi="Arial" w:cs="Arial"/>
          <w:b/>
          <w:color w:val="000000"/>
          <w:lang w:val="en-US"/>
        </w:rPr>
        <w:t xml:space="preserve">Line </w:t>
      </w:r>
      <w:r w:rsidR="00A32947">
        <w:rPr>
          <w:rFonts w:ascii="Arial" w:hAnsi="Arial" w:cs="Arial"/>
          <w:b/>
          <w:color w:val="000000"/>
          <w:lang w:val="en-US"/>
        </w:rPr>
        <w:t>C</w:t>
      </w:r>
      <w:r w:rsidR="00A32947" w:rsidRPr="00B8656B">
        <w:rPr>
          <w:rFonts w:ascii="Arial" w:hAnsi="Arial" w:cs="Arial"/>
          <w:b/>
          <w:color w:val="000000"/>
          <w:lang w:val="en-US"/>
        </w:rPr>
        <w:t>27</w:t>
      </w:r>
      <w:r w:rsidR="00A32947" w:rsidRPr="00B8656B">
        <w:rPr>
          <w:rFonts w:ascii="Arial" w:hAnsi="Arial" w:cs="Arial"/>
          <w:color w:val="000000"/>
          <w:lang w:val="en-US"/>
        </w:rPr>
        <w:t xml:space="preserve"> </w:t>
      </w:r>
      <w:r w:rsidRPr="00B8656B">
        <w:rPr>
          <w:rFonts w:ascii="Arial" w:hAnsi="Arial" w:cs="Arial"/>
          <w:color w:val="000000"/>
          <w:lang w:val="en-US"/>
        </w:rPr>
        <w:t>– Derivatives</w:t>
      </w:r>
      <w:r w:rsidR="00975148">
        <w:rPr>
          <w:rFonts w:ascii="Arial" w:hAnsi="Arial" w:cs="Arial"/>
          <w:color w:val="000000"/>
          <w:lang w:val="en-US"/>
        </w:rPr>
        <w:t xml:space="preserve"> (R0190, C0010)</w:t>
      </w:r>
      <w:r w:rsidRPr="00B8656B">
        <w:rPr>
          <w:rFonts w:ascii="Arial" w:hAnsi="Arial" w:cs="Arial"/>
          <w:color w:val="000000"/>
          <w:lang w:val="en-US"/>
        </w:rPr>
        <w:t xml:space="preserve">: </w:t>
      </w:r>
      <w:r w:rsidR="00187FB0" w:rsidRPr="006C6FB3">
        <w:rPr>
          <w:rFonts w:ascii="Arial" w:hAnsi="Arial" w:cs="Arial"/>
          <w:lang w:val="en-US"/>
        </w:rPr>
        <w:t>A financial instrument or other contract with all of the following characteristics:</w:t>
      </w:r>
    </w:p>
    <w:p w14:paraId="6F4AF3DC" w14:textId="77777777" w:rsidR="00C71FBB" w:rsidRPr="009A794F" w:rsidRDefault="007F19FA" w:rsidP="006C5EE3">
      <w:pPr>
        <w:pStyle w:val="ListParagraph"/>
        <w:keepNext/>
        <w:numPr>
          <w:ilvl w:val="0"/>
          <w:numId w:val="44"/>
        </w:numPr>
        <w:autoSpaceDE w:val="0"/>
        <w:autoSpaceDN w:val="0"/>
        <w:spacing w:before="120" w:after="120"/>
        <w:outlineLvl w:val="1"/>
        <w:rPr>
          <w:rFonts w:ascii="Arial" w:hAnsi="Arial" w:cs="Arial"/>
          <w:lang w:val="en-US"/>
        </w:rPr>
      </w:pPr>
      <w:r>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97A2F17" w14:textId="77777777" w:rsidR="009A794F" w:rsidRPr="009A794F" w:rsidRDefault="009A794F" w:rsidP="009A794F">
      <w:pPr>
        <w:keepNext/>
        <w:autoSpaceDE w:val="0"/>
        <w:autoSpaceDN w:val="0"/>
        <w:spacing w:before="120" w:after="120"/>
        <w:outlineLvl w:val="1"/>
        <w:rPr>
          <w:rFonts w:ascii="Arial" w:hAnsi="Arial" w:cs="Arial"/>
          <w:lang w:val="en-US"/>
        </w:rPr>
      </w:pPr>
    </w:p>
    <w:p w14:paraId="4F6D5C0C"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31711845" w14:textId="77777777" w:rsidR="009A794F" w:rsidRPr="004C3F6C" w:rsidRDefault="009A794F" w:rsidP="009A794F">
      <w:pPr>
        <w:pStyle w:val="ListParagraph"/>
        <w:rPr>
          <w:rFonts w:ascii="Arial" w:hAnsi="Arial" w:cs="Arial"/>
          <w:sz w:val="20"/>
          <w:lang w:val="en-US"/>
        </w:rPr>
      </w:pPr>
    </w:p>
    <w:p w14:paraId="5ABCD5B9"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lastRenderedPageBreak/>
        <w:t>It requires no initial net investment or an initial net investment that is smaller than would be required for other types of contracts that would be expected to have a similar response to changes in market factors.</w:t>
      </w:r>
    </w:p>
    <w:p w14:paraId="195FFF10" w14:textId="77777777" w:rsidR="009A794F" w:rsidRPr="004C3F6C" w:rsidRDefault="009A794F" w:rsidP="009A794F">
      <w:pPr>
        <w:pStyle w:val="ListParagraph"/>
        <w:rPr>
          <w:rFonts w:ascii="Arial" w:hAnsi="Arial" w:cs="Arial"/>
          <w:sz w:val="20"/>
          <w:lang w:val="en-US"/>
        </w:rPr>
      </w:pPr>
    </w:p>
    <w:p w14:paraId="12C8CF06" w14:textId="77777777" w:rsidR="009A794F" w:rsidRPr="00FA41D3" w:rsidRDefault="009A794F" w:rsidP="006C5EE3">
      <w:pPr>
        <w:pStyle w:val="ListParagraph"/>
        <w:numPr>
          <w:ilvl w:val="0"/>
          <w:numId w:val="44"/>
        </w:numPr>
        <w:rPr>
          <w:rFonts w:ascii="Arial" w:hAnsi="Arial" w:cs="Arial"/>
          <w:lang w:val="en-US"/>
        </w:rPr>
      </w:pPr>
      <w:r w:rsidRPr="004C3F6C">
        <w:rPr>
          <w:rFonts w:ascii="Arial" w:hAnsi="Arial" w:cs="Arial"/>
          <w:sz w:val="20"/>
          <w:lang w:val="en-US"/>
        </w:rPr>
        <w:t>It is settled at a future date</w:t>
      </w:r>
      <w:r w:rsidRPr="00FA41D3">
        <w:rPr>
          <w:rFonts w:ascii="Arial" w:hAnsi="Arial" w:cs="Arial"/>
          <w:lang w:val="en-US"/>
        </w:rPr>
        <w:t>.</w:t>
      </w:r>
    </w:p>
    <w:p w14:paraId="3CBAD439" w14:textId="77777777" w:rsidR="00661F00" w:rsidRDefault="00661F00"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p>
    <w:p w14:paraId="666C6DA4" w14:textId="77777777" w:rsidR="00187FB0" w:rsidRPr="00C71FBB"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603F1">
        <w:rPr>
          <w:rFonts w:ascii="Arial" w:hAnsi="Arial" w:cs="Arial"/>
          <w:color w:val="000000"/>
          <w:lang w:val="en-US"/>
        </w:rPr>
        <w:t>Only derivative assets should be included on this line</w:t>
      </w:r>
      <w:r w:rsidR="00692BD7" w:rsidRPr="001603F1">
        <w:rPr>
          <w:rFonts w:ascii="Arial" w:hAnsi="Arial" w:cs="Arial"/>
          <w:color w:val="000000"/>
          <w:lang w:val="en-US"/>
        </w:rPr>
        <w:t xml:space="preserve">.  This amount must agree to </w:t>
      </w:r>
      <w:r w:rsidR="00B97B35" w:rsidRPr="001603F1">
        <w:rPr>
          <w:rFonts w:ascii="Arial" w:hAnsi="Arial" w:cs="Arial"/>
          <w:color w:val="000000"/>
          <w:lang w:val="en-US"/>
        </w:rPr>
        <w:t xml:space="preserve">the </w:t>
      </w:r>
      <w:r w:rsidR="00692BD7" w:rsidRPr="001603F1">
        <w:rPr>
          <w:rFonts w:ascii="Arial" w:hAnsi="Arial" w:cs="Arial"/>
          <w:color w:val="000000"/>
          <w:lang w:val="en-US"/>
        </w:rPr>
        <w:t xml:space="preserve">total </w:t>
      </w:r>
      <w:r w:rsidR="00B97B35" w:rsidRPr="001603F1">
        <w:rPr>
          <w:rFonts w:ascii="Arial" w:hAnsi="Arial" w:cs="Arial"/>
          <w:color w:val="000000"/>
          <w:lang w:val="en-US"/>
        </w:rPr>
        <w:t>Solvency II</w:t>
      </w:r>
      <w:r w:rsidR="00692BD7" w:rsidRPr="001603F1">
        <w:rPr>
          <w:rFonts w:ascii="Arial" w:hAnsi="Arial" w:cs="Arial"/>
          <w:color w:val="000000"/>
          <w:lang w:val="en-US"/>
        </w:rPr>
        <w:t xml:space="preserve"> value on QAD233 where the value is positive</w:t>
      </w:r>
      <w:r w:rsidR="00692BD7" w:rsidRPr="001603F1">
        <w:rPr>
          <w:rFonts w:ascii="Arial" w:hAnsi="Arial" w:cs="Arial"/>
          <w:color w:val="000000"/>
        </w:rPr>
        <w:t xml:space="preserve">.  </w:t>
      </w:r>
      <w:r w:rsidR="00187FB0" w:rsidRPr="001603F1">
        <w:rPr>
          <w:rFonts w:ascii="Arial" w:hAnsi="Arial" w:cs="Arial"/>
          <w:color w:val="000000"/>
        </w:rPr>
        <w:t xml:space="preserve">In </w:t>
      </w:r>
      <w:r w:rsidR="004238B6" w:rsidRPr="001603F1">
        <w:rPr>
          <w:rFonts w:ascii="Arial" w:hAnsi="Arial" w:cs="Arial"/>
          <w:color w:val="000000"/>
        </w:rPr>
        <w:t>the case</w:t>
      </w:r>
      <w:r w:rsidR="00187FB0" w:rsidRPr="001603F1">
        <w:rPr>
          <w:rFonts w:ascii="Arial" w:hAnsi="Arial" w:cs="Arial"/>
          <w:color w:val="000000"/>
        </w:rPr>
        <w:t xml:space="preserve"> of </w:t>
      </w:r>
      <w:r w:rsidR="004238B6" w:rsidRPr="001603F1">
        <w:rPr>
          <w:rFonts w:ascii="Arial" w:hAnsi="Arial" w:cs="Arial"/>
          <w:color w:val="000000"/>
        </w:rPr>
        <w:t xml:space="preserve">a </w:t>
      </w:r>
      <w:r w:rsidR="00187FB0" w:rsidRPr="001603F1">
        <w:rPr>
          <w:rFonts w:ascii="Arial" w:hAnsi="Arial" w:cs="Arial"/>
          <w:color w:val="000000"/>
        </w:rPr>
        <w:t xml:space="preserve">negative value, please see line </w:t>
      </w:r>
      <w:r w:rsidR="008E62B5">
        <w:rPr>
          <w:rFonts w:ascii="Arial" w:hAnsi="Arial" w:cs="Arial"/>
          <w:color w:val="000000"/>
        </w:rPr>
        <w:t>C</w:t>
      </w:r>
      <w:r w:rsidR="00187FB0" w:rsidRPr="001603F1">
        <w:rPr>
          <w:rFonts w:ascii="Arial" w:hAnsi="Arial" w:cs="Arial"/>
          <w:color w:val="000000"/>
        </w:rPr>
        <w:t>79</w:t>
      </w:r>
      <w:r w:rsidR="00187FB0" w:rsidRPr="00C71FBB">
        <w:rPr>
          <w:rFonts w:ascii="Arial" w:hAnsi="Arial" w:cs="Arial"/>
          <w:b/>
          <w:color w:val="000000"/>
        </w:rPr>
        <w:t>.</w:t>
      </w:r>
    </w:p>
    <w:p w14:paraId="68B70BBC" w14:textId="77777777"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C28</w:t>
      </w:r>
      <w:r w:rsidR="00A32947">
        <w:rPr>
          <w:rFonts w:ascii="Arial" w:hAnsi="Arial" w:cs="Arial"/>
          <w:color w:val="000000"/>
          <w:lang w:val="en-US"/>
        </w:rPr>
        <w:t xml:space="preserve"> </w:t>
      </w:r>
      <w:r>
        <w:rPr>
          <w:rFonts w:ascii="Arial" w:hAnsi="Arial" w:cs="Arial"/>
          <w:color w:val="000000"/>
          <w:lang w:val="en-US"/>
        </w:rPr>
        <w:t>- Deposits other than cash and cash equivalents</w:t>
      </w:r>
      <w:r w:rsidR="00975148">
        <w:rPr>
          <w:rFonts w:ascii="Arial" w:hAnsi="Arial" w:cs="Arial"/>
          <w:color w:val="000000"/>
          <w:lang w:val="en-US"/>
        </w:rPr>
        <w:t xml:space="preserve"> (R0200, C0010)</w:t>
      </w:r>
      <w:r>
        <w:rPr>
          <w:rFonts w:ascii="Arial" w:hAnsi="Arial" w:cs="Arial"/>
          <w:color w:val="000000"/>
          <w:lang w:val="en-US"/>
        </w:rPr>
        <w:t>: These are d</w:t>
      </w:r>
      <w:r w:rsidRPr="00247C18">
        <w:rPr>
          <w:rFonts w:ascii="Arial" w:hAnsi="Arial" w:cs="Arial"/>
          <w:lang w:val="en-US"/>
        </w:rPr>
        <w:t xml:space="preserve">eposits other than transferable deposits. </w:t>
      </w:r>
      <w:r w:rsidR="00633033">
        <w:rPr>
          <w:rFonts w:ascii="Arial" w:hAnsi="Arial" w:cs="Arial"/>
          <w:lang w:val="en-US"/>
        </w:rPr>
        <w:t>This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7F2BBD">
        <w:rPr>
          <w:rFonts w:ascii="Arial" w:hAnsi="Arial" w:cs="Arial"/>
          <w:lang w:val="en-US"/>
        </w:rPr>
        <w:t>##</w:t>
      </w:r>
      <w:r w:rsidRPr="0033136D">
        <w:rPr>
          <w:rFonts w:ascii="Arial" w:hAnsi="Arial" w:cs="Arial"/>
          <w:lang w:val="en-US"/>
        </w:rPr>
        <w:t xml:space="preserve">73, </w:t>
      </w:r>
      <w:r w:rsidR="007F2BBD">
        <w:rPr>
          <w:rFonts w:ascii="Arial" w:hAnsi="Arial" w:cs="Arial"/>
          <w:lang w:val="en-US"/>
        </w:rPr>
        <w:t>##</w:t>
      </w:r>
      <w:r w:rsidRPr="0033136D">
        <w:rPr>
          <w:rFonts w:ascii="Arial" w:hAnsi="Arial" w:cs="Arial"/>
          <w:lang w:val="en-US"/>
        </w:rPr>
        <w:t xml:space="preserve">74 and </w:t>
      </w:r>
      <w:r w:rsidR="007F2BBD">
        <w:rPr>
          <w:rFonts w:ascii="Arial" w:hAnsi="Arial" w:cs="Arial"/>
          <w:lang w:val="en-US"/>
        </w:rPr>
        <w:t>##</w:t>
      </w:r>
      <w:r w:rsidRPr="0033136D">
        <w:rPr>
          <w:rFonts w:ascii="Arial" w:hAnsi="Arial" w:cs="Arial"/>
          <w:lang w:val="en-US"/>
        </w:rPr>
        <w:t>79</w:t>
      </w:r>
      <w:r w:rsidR="007F2BBD">
        <w:rPr>
          <w:rFonts w:ascii="Arial" w:hAnsi="Arial" w:cs="Arial"/>
          <w:lang w:val="en-US"/>
        </w:rPr>
        <w:t xml:space="preserve"> on QAD230</w:t>
      </w:r>
      <w:r w:rsidRPr="0033136D">
        <w:rPr>
          <w:rFonts w:ascii="Arial" w:hAnsi="Arial" w:cs="Arial"/>
          <w:lang w:val="en-US"/>
        </w:rPr>
        <w:t>.</w:t>
      </w:r>
    </w:p>
    <w:p w14:paraId="514A1F5C" w14:textId="77777777" w:rsidR="00FA41D3"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w:t>
      </w:r>
      <w:r w:rsidR="00A32947" w:rsidRPr="00247C18">
        <w:rPr>
          <w:rFonts w:ascii="Arial" w:hAnsi="Arial" w:cs="Arial"/>
          <w:b/>
          <w:color w:val="000000"/>
          <w:lang w:val="en-US"/>
        </w:rPr>
        <w:t>2</w:t>
      </w:r>
      <w:r w:rsidR="00A32947">
        <w:rPr>
          <w:rFonts w:ascii="Arial" w:hAnsi="Arial" w:cs="Arial"/>
          <w:b/>
          <w:color w:val="000000"/>
          <w:lang w:val="en-US"/>
        </w:rPr>
        <w:t>9</w:t>
      </w:r>
      <w:r w:rsidR="00A32947" w:rsidRPr="00247C18">
        <w:rPr>
          <w:rFonts w:ascii="Arial" w:hAnsi="Arial" w:cs="Arial"/>
          <w:color w:val="000000"/>
          <w:lang w:val="en-US"/>
        </w:rPr>
        <w:t xml:space="preserve"> </w:t>
      </w:r>
      <w:r w:rsidRPr="00247C18">
        <w:rPr>
          <w:rFonts w:ascii="Arial" w:hAnsi="Arial" w:cs="Arial"/>
          <w:color w:val="000000"/>
          <w:lang w:val="en-US"/>
        </w:rPr>
        <w:t>– Other investments</w:t>
      </w:r>
      <w:r w:rsidR="00975148">
        <w:rPr>
          <w:rFonts w:ascii="Arial" w:hAnsi="Arial" w:cs="Arial"/>
          <w:color w:val="000000"/>
          <w:lang w:val="en-US"/>
        </w:rPr>
        <w:t xml:space="preserve"> (R0210, C0010)</w:t>
      </w:r>
      <w:r w:rsidRPr="00247C18">
        <w:rPr>
          <w:rFonts w:ascii="Arial" w:hAnsi="Arial" w:cs="Arial"/>
          <w:color w:val="000000"/>
          <w:lang w:val="en-US"/>
        </w:rPr>
        <w:t xml:space="preserve">: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7F2BBD">
        <w:rPr>
          <w:rFonts w:ascii="Arial" w:hAnsi="Arial" w:cs="Arial"/>
          <w:color w:val="000000"/>
          <w:lang w:val="en-US"/>
        </w:rPr>
        <w:t xml:space="preserve">  This amount relates to assets with a CIC category of ##09 on QAD230</w:t>
      </w:r>
      <w:r w:rsidR="00EA1B50">
        <w:rPr>
          <w:rFonts w:ascii="Arial" w:hAnsi="Arial" w:cs="Arial"/>
          <w:color w:val="000000"/>
          <w:lang w:val="en-US"/>
        </w:rPr>
        <w:t>.</w:t>
      </w:r>
    </w:p>
    <w:p w14:paraId="23A1F420" w14:textId="777777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31</w:t>
      </w:r>
      <w:r w:rsidR="00A32947" w:rsidRPr="001B4618">
        <w:rPr>
          <w:rFonts w:ascii="Arial" w:hAnsi="Arial" w:cs="Arial"/>
          <w:color w:val="000000"/>
          <w:lang w:val="en-US"/>
        </w:rPr>
        <w:t xml:space="preserve"> </w:t>
      </w:r>
      <w:r w:rsidRPr="001B4618">
        <w:rPr>
          <w:rFonts w:ascii="Arial" w:hAnsi="Arial" w:cs="Arial"/>
          <w:color w:val="000000"/>
          <w:lang w:val="en-US"/>
        </w:rPr>
        <w:t xml:space="preserve">–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00975148">
        <w:rPr>
          <w:rFonts w:ascii="Arial" w:hAnsi="Arial" w:cs="Arial"/>
          <w:color w:val="000000"/>
          <w:lang w:val="en-US"/>
        </w:rPr>
        <w:t xml:space="preserve"> (R0220, C0010)</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Lloyd’s would not expect any amount reported within this line.</w:t>
      </w:r>
    </w:p>
    <w:p w14:paraId="171F3217" w14:textId="77777777" w:rsidR="0033136D" w:rsidRPr="00FB5BDC" w:rsidRDefault="004A1C88" w:rsidP="000743D0">
      <w:pPr>
        <w:spacing w:after="120" w:line="280" w:lineRule="atLeast"/>
        <w:rPr>
          <w:rFonts w:ascii="Arial" w:hAnsi="Arial" w:cs="Arial"/>
          <w:color w:val="000000"/>
          <w:lang w:val="en-US"/>
        </w:rPr>
      </w:pPr>
      <w:r w:rsidRPr="00346354">
        <w:rPr>
          <w:rFonts w:ascii="Arial" w:hAnsi="Arial" w:cs="Arial"/>
          <w:b/>
          <w:color w:val="000000"/>
          <w:lang w:val="en-US"/>
        </w:rPr>
        <w:t xml:space="preserve">Line </w:t>
      </w:r>
      <w:r w:rsidR="00A32947">
        <w:rPr>
          <w:rFonts w:ascii="Arial" w:hAnsi="Arial" w:cs="Arial"/>
          <w:b/>
          <w:color w:val="000000"/>
          <w:lang w:val="en-US"/>
        </w:rPr>
        <w:t>C</w:t>
      </w:r>
      <w:r w:rsidR="00A32947" w:rsidRPr="00346354">
        <w:rPr>
          <w:rFonts w:ascii="Arial" w:hAnsi="Arial" w:cs="Arial"/>
          <w:b/>
          <w:color w:val="000000"/>
          <w:lang w:val="en-US"/>
        </w:rPr>
        <w:t xml:space="preserve">32 </w:t>
      </w:r>
      <w:r w:rsidRPr="00346354">
        <w:rPr>
          <w:rFonts w:ascii="Arial" w:hAnsi="Arial" w:cs="Arial"/>
          <w:color w:val="000000"/>
          <w:lang w:val="en-US"/>
        </w:rPr>
        <w:t>– Loans &amp; mortgages to individuals</w:t>
      </w:r>
      <w:r w:rsidR="00975148">
        <w:rPr>
          <w:rFonts w:ascii="Arial" w:hAnsi="Arial" w:cs="Arial"/>
          <w:color w:val="000000"/>
          <w:lang w:val="en-US"/>
        </w:rPr>
        <w:t xml:space="preserve"> (R0250, C0010)</w:t>
      </w:r>
      <w:r w:rsidRPr="00346354">
        <w:rPr>
          <w:rFonts w:ascii="Arial" w:hAnsi="Arial" w:cs="Arial"/>
          <w:color w:val="000000"/>
          <w:lang w:val="en-US"/>
        </w:rPr>
        <w:t xml:space="preserve">: These are financial assets created when creditors lend funds to debtors - individuals, with collateral or not, including cash pools. </w:t>
      </w:r>
      <w:r w:rsidR="007F2BBD">
        <w:rPr>
          <w:rFonts w:ascii="Arial" w:hAnsi="Arial" w:cs="Arial"/>
          <w:color w:val="000000"/>
          <w:lang w:val="en-US"/>
        </w:rPr>
        <w:t xml:space="preserve"> This amount relates to assets with a CIC category of ##8#, excluding ##86 on QAD230.</w:t>
      </w:r>
    </w:p>
    <w:p w14:paraId="22D15441" w14:textId="77777777" w:rsidR="004A1C8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33</w:t>
      </w:r>
      <w:r w:rsidR="00A32947" w:rsidRPr="00346354">
        <w:rPr>
          <w:rFonts w:ascii="Arial" w:hAnsi="Arial" w:cs="Arial"/>
          <w:color w:val="000000"/>
          <w:lang w:val="en-US"/>
        </w:rPr>
        <w:t xml:space="preserve"> </w:t>
      </w:r>
      <w:r w:rsidRPr="00346354">
        <w:rPr>
          <w:rFonts w:ascii="Arial" w:hAnsi="Arial" w:cs="Arial"/>
          <w:color w:val="000000"/>
          <w:lang w:val="en-US"/>
        </w:rPr>
        <w:t>– Other loans &amp; mortgages</w:t>
      </w:r>
      <w:r w:rsidR="00975148">
        <w:rPr>
          <w:rFonts w:ascii="Arial" w:hAnsi="Arial" w:cs="Arial"/>
          <w:color w:val="000000"/>
          <w:lang w:val="en-US"/>
        </w:rPr>
        <w:t xml:space="preserve"> (R0260, C0010)</w:t>
      </w:r>
      <w:r w:rsidRPr="00346354">
        <w:rPr>
          <w:rFonts w:ascii="Arial" w:hAnsi="Arial" w:cs="Arial"/>
          <w:color w:val="000000"/>
          <w:lang w:val="en-US"/>
        </w:rPr>
        <w:t>: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7F2BBD">
        <w:rPr>
          <w:rFonts w:ascii="Arial" w:hAnsi="Arial" w:cs="Arial"/>
          <w:color w:val="000000"/>
          <w:lang w:val="en-US"/>
        </w:rPr>
        <w:t>##8#, excluding ##86 on QAD230</w:t>
      </w:r>
      <w:r w:rsidRPr="00346354">
        <w:rPr>
          <w:rFonts w:ascii="Arial" w:hAnsi="Arial" w:cs="Arial"/>
          <w:color w:val="000000"/>
          <w:lang w:val="en-US"/>
        </w:rPr>
        <w:t>.</w:t>
      </w:r>
    </w:p>
    <w:p w14:paraId="539A086B" w14:textId="78739C2A" w:rsidR="00A914EC" w:rsidRPr="00E76B9B" w:rsidRDefault="006C5349"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1849" w:name="_Hlk4490311"/>
      <w:r>
        <w:rPr>
          <w:rFonts w:ascii="Arial" w:hAnsi="Arial" w:cs="Arial"/>
          <w:bCs/>
          <w:color w:val="000000"/>
        </w:rPr>
        <w:t>For the 2019 and 2020 years of account</w:t>
      </w:r>
      <w:r w:rsidR="00A914EC"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w:t>
      </w:r>
      <w:r w:rsidR="00BF6555">
        <w:rPr>
          <w:rFonts w:ascii="Arial" w:hAnsi="Arial" w:cs="Arial"/>
          <w:bCs/>
          <w:color w:val="000000"/>
        </w:rPr>
        <w:t xml:space="preserve"> </w:t>
      </w:r>
      <w:r w:rsidR="00A914EC" w:rsidRPr="00E76B9B">
        <w:rPr>
          <w:rFonts w:ascii="Arial" w:hAnsi="Arial" w:cs="Arial"/>
          <w:bCs/>
          <w:color w:val="000000"/>
        </w:rPr>
        <w:t xml:space="preserve">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w:t>
      </w:r>
      <w:r w:rsidR="00617884">
        <w:rPr>
          <w:rFonts w:ascii="Arial" w:hAnsi="Arial" w:cs="Arial"/>
          <w:bCs/>
          <w:color w:val="000000"/>
        </w:rPr>
        <w:t>c</w:t>
      </w:r>
      <w:r w:rsidR="00A914EC" w:rsidRPr="00E76B9B">
        <w:rPr>
          <w:rFonts w:ascii="Arial" w:hAnsi="Arial" w:cs="Arial"/>
          <w:bCs/>
          <w:color w:val="000000"/>
        </w:rPr>
        <w:t xml:space="preserve">entral </w:t>
      </w:r>
      <w:r w:rsidR="00617884">
        <w:rPr>
          <w:rFonts w:ascii="Arial" w:hAnsi="Arial" w:cs="Arial"/>
          <w:bCs/>
          <w:color w:val="000000"/>
        </w:rPr>
        <w:t>f</w:t>
      </w:r>
      <w:r w:rsidR="00A914EC" w:rsidRPr="00E76B9B">
        <w:rPr>
          <w:rFonts w:ascii="Arial" w:hAnsi="Arial" w:cs="Arial"/>
          <w:bCs/>
          <w:color w:val="000000"/>
        </w:rPr>
        <w:t xml:space="preserve">und” </w:t>
      </w:r>
      <w:r w:rsidR="00617884">
        <w:rPr>
          <w:rFonts w:ascii="Arial" w:hAnsi="Arial" w:cs="Arial"/>
          <w:bCs/>
          <w:color w:val="000000"/>
        </w:rPr>
        <w:t>in the Syndicate Accounts</w:t>
      </w:r>
      <w:r w:rsidR="00A914EC" w:rsidRPr="00E76B9B">
        <w:rPr>
          <w:rFonts w:ascii="Arial" w:hAnsi="Arial" w:cs="Arial"/>
          <w:bCs/>
          <w:color w:val="000000"/>
        </w:rPr>
        <w:t xml:space="preserve"> (</w:t>
      </w:r>
      <w:r w:rsidR="009262D1">
        <w:rPr>
          <w:rFonts w:ascii="Arial" w:hAnsi="Arial" w:cs="Arial"/>
          <w:bCs/>
          <w:color w:val="000000"/>
        </w:rPr>
        <w:t xml:space="preserve">seen in the Illustrative Accounts as </w:t>
      </w:r>
      <w:r w:rsidR="00A914EC" w:rsidRPr="00E76B9B">
        <w:rPr>
          <w:rFonts w:ascii="Arial" w:hAnsi="Arial" w:cs="Arial"/>
          <w:bCs/>
          <w:color w:val="000000"/>
        </w:rPr>
        <w:t>part of financial investments</w:t>
      </w:r>
      <w:r w:rsidR="00617884">
        <w:rPr>
          <w:rFonts w:ascii="Arial" w:hAnsi="Arial" w:cs="Arial"/>
          <w:bCs/>
          <w:color w:val="000000"/>
        </w:rPr>
        <w:t xml:space="preserve"> and analysed further in </w:t>
      </w:r>
      <w:r w:rsidR="00134971">
        <w:rPr>
          <w:rFonts w:ascii="Arial" w:hAnsi="Arial" w:cs="Arial"/>
          <w:bCs/>
          <w:color w:val="000000"/>
        </w:rPr>
        <w:t>t</w:t>
      </w:r>
      <w:r w:rsidR="00617884">
        <w:rPr>
          <w:rFonts w:ascii="Arial" w:hAnsi="Arial" w:cs="Arial"/>
          <w:bCs/>
          <w:color w:val="000000"/>
        </w:rPr>
        <w:t>he Financial Investments note disclosure</w:t>
      </w:r>
      <w:r w:rsidR="00A914EC" w:rsidRPr="00E76B9B">
        <w:rPr>
          <w:rFonts w:ascii="Arial" w:hAnsi="Arial" w:cs="Arial"/>
          <w:bCs/>
          <w:color w:val="000000"/>
        </w:rPr>
        <w:t>).</w:t>
      </w:r>
    </w:p>
    <w:p w14:paraId="5741E3A9" w14:textId="77777777" w:rsidR="00A914EC" w:rsidRPr="00E76B9B"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15C7AEBA" w14:textId="77777777" w:rsidR="00A914EC"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2886D15D" w14:textId="77777777" w:rsidR="00C66EB3" w:rsidRPr="00E76B9B" w:rsidRDefault="00C66EB3" w:rsidP="00E76B9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Common with the treatment applied for Solvency II for other such assets, accrued income will be reallocated to the value of the loan via QSR002 column B before arriving at the amount to be reflected in line C33.</w:t>
      </w:r>
    </w:p>
    <w:bookmarkEnd w:id="1849"/>
    <w:p w14:paraId="571AB4AD" w14:textId="77777777"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34</w:t>
      </w:r>
      <w:r w:rsidR="00A32947" w:rsidRPr="001B4618">
        <w:rPr>
          <w:rFonts w:ascii="Arial" w:hAnsi="Arial" w:cs="Arial"/>
          <w:color w:val="000000"/>
          <w:lang w:val="en-US"/>
        </w:rPr>
        <w:t xml:space="preserve"> </w:t>
      </w:r>
      <w:r w:rsidRPr="001B4618">
        <w:rPr>
          <w:rFonts w:ascii="Arial" w:hAnsi="Arial" w:cs="Arial"/>
          <w:color w:val="000000"/>
          <w:lang w:val="en-US"/>
        </w:rPr>
        <w:t>– Loans on policies</w:t>
      </w:r>
      <w:r w:rsidR="00975148">
        <w:rPr>
          <w:rFonts w:ascii="Arial" w:hAnsi="Arial" w:cs="Arial"/>
          <w:color w:val="000000"/>
          <w:lang w:val="en-US"/>
        </w:rPr>
        <w:t xml:space="preserve"> (R0240, C0010)</w:t>
      </w:r>
      <w:r w:rsidRPr="001B4618">
        <w:rPr>
          <w:rFonts w:ascii="Arial" w:hAnsi="Arial" w:cs="Arial"/>
          <w:color w:val="000000"/>
          <w:lang w:val="en-US"/>
        </w:rPr>
        <w:t xml:space="preserve">: These are loans to policyholders </w:t>
      </w:r>
      <w:proofErr w:type="spellStart"/>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proofErr w:type="spellEnd"/>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7F2BBD">
        <w:rPr>
          <w:rFonts w:ascii="Arial" w:hAnsi="Arial" w:cs="Arial"/>
          <w:color w:val="000000"/>
        </w:rPr>
        <w:t>##</w:t>
      </w:r>
      <w:r w:rsidRPr="005B6F2A">
        <w:rPr>
          <w:rFonts w:ascii="Arial" w:hAnsi="Arial" w:cs="Arial"/>
          <w:color w:val="000000"/>
        </w:rPr>
        <w:t>86</w:t>
      </w:r>
      <w:r w:rsidR="007F2BBD">
        <w:rPr>
          <w:rFonts w:ascii="Arial" w:hAnsi="Arial" w:cs="Arial"/>
          <w:color w:val="000000"/>
        </w:rPr>
        <w:t xml:space="preserve"> on QAD230</w:t>
      </w:r>
      <w:r>
        <w:rPr>
          <w:rFonts w:ascii="Arial" w:hAnsi="Arial" w:cs="Arial"/>
          <w:color w:val="000000"/>
        </w:rPr>
        <w:t>.</w:t>
      </w:r>
    </w:p>
    <w:p w14:paraId="36922D29" w14:textId="77777777"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A32947">
        <w:rPr>
          <w:rFonts w:ascii="Arial" w:hAnsi="Arial" w:cs="Arial"/>
          <w:b/>
          <w:color w:val="000000"/>
          <w:lang w:val="en-US"/>
        </w:rPr>
        <w:t>C</w:t>
      </w:r>
      <w:r w:rsidR="00A32947" w:rsidRPr="00F521F1">
        <w:rPr>
          <w:rFonts w:ascii="Arial" w:hAnsi="Arial" w:cs="Arial"/>
          <w:b/>
          <w:color w:val="000000"/>
          <w:lang w:val="en-US"/>
        </w:rPr>
        <w:t xml:space="preserve">36 </w:t>
      </w:r>
      <w:r w:rsidRPr="00F521F1">
        <w:rPr>
          <w:rFonts w:ascii="Arial" w:hAnsi="Arial" w:cs="Arial"/>
          <w:b/>
          <w:color w:val="000000"/>
          <w:lang w:val="en-US"/>
        </w:rPr>
        <w:t xml:space="preserve">&amp; 37 – </w:t>
      </w:r>
      <w:r w:rsidRPr="00346354">
        <w:rPr>
          <w:rFonts w:ascii="Arial" w:hAnsi="Arial" w:cs="Arial"/>
          <w:color w:val="000000"/>
          <w:lang w:val="en-US"/>
        </w:rPr>
        <w:t xml:space="preserve">Reinsurance </w:t>
      </w:r>
      <w:proofErr w:type="spellStart"/>
      <w:r w:rsidRPr="00346354">
        <w:rPr>
          <w:rFonts w:ascii="Arial" w:hAnsi="Arial" w:cs="Arial"/>
          <w:color w:val="000000"/>
          <w:lang w:val="en-US"/>
        </w:rPr>
        <w:t>recoverables</w:t>
      </w:r>
      <w:proofErr w:type="spellEnd"/>
      <w:r w:rsidRPr="00346354">
        <w:rPr>
          <w:rFonts w:ascii="Arial" w:hAnsi="Arial" w:cs="Arial"/>
          <w:color w:val="000000"/>
          <w:lang w:val="en-US"/>
        </w:rPr>
        <w:t xml:space="preserve"> (Non-life excluding health</w:t>
      </w:r>
      <w:r w:rsidR="00975148">
        <w:rPr>
          <w:rFonts w:ascii="Arial" w:hAnsi="Arial" w:cs="Arial"/>
          <w:color w:val="000000"/>
          <w:lang w:val="en-US"/>
        </w:rPr>
        <w:t xml:space="preserve"> (R0290, C0010)</w:t>
      </w:r>
      <w:r w:rsidRPr="00346354">
        <w:rPr>
          <w:rFonts w:ascii="Arial" w:hAnsi="Arial" w:cs="Arial"/>
          <w:color w:val="000000"/>
          <w:lang w:val="en-US"/>
        </w:rPr>
        <w:t xml:space="preserve"> and health similar to non-life</w:t>
      </w:r>
      <w:r w:rsidR="00975148">
        <w:rPr>
          <w:rFonts w:ascii="Arial" w:hAnsi="Arial" w:cs="Arial"/>
          <w:color w:val="000000"/>
          <w:lang w:val="en-US"/>
        </w:rPr>
        <w:t xml:space="preserve"> (R</w:t>
      </w:r>
      <w:r w:rsidR="003A485F">
        <w:rPr>
          <w:rFonts w:ascii="Arial" w:hAnsi="Arial" w:cs="Arial"/>
          <w:color w:val="000000"/>
          <w:lang w:val="en-US"/>
        </w:rPr>
        <w:t>0300, C0010</w:t>
      </w:r>
      <w:r w:rsidRPr="00346354">
        <w:rPr>
          <w:rFonts w:ascii="Arial" w:hAnsi="Arial" w:cs="Arial"/>
          <w:color w:val="000000"/>
          <w:lang w:val="en-US"/>
        </w:rPr>
        <w:t>):</w:t>
      </w:r>
      <w:r w:rsidRPr="00346354">
        <w:rPr>
          <w:rFonts w:ascii="Arial" w:hAnsi="Arial" w:cs="Arial"/>
          <w:b/>
          <w:color w:val="000000"/>
          <w:lang w:val="en-US"/>
        </w:rPr>
        <w:t xml:space="preserve"> </w:t>
      </w:r>
      <w:r w:rsidRPr="00FB5BDC">
        <w:rPr>
          <w:rFonts w:ascii="Arial" w:hAnsi="Arial" w:cs="Arial"/>
          <w:color w:val="000000"/>
          <w:lang w:val="en-US"/>
        </w:rPr>
        <w:t>Reinsurers’ share of technical provisions relating to non-life and health similar to non-life should be reported within the appropriate lin</w:t>
      </w:r>
      <w:r w:rsidRPr="001B4618">
        <w:rPr>
          <w:rFonts w:ascii="Arial" w:hAnsi="Arial" w:cs="Arial"/>
          <w:color w:val="000000"/>
          <w:lang w:val="en-US"/>
        </w:rPr>
        <w:t xml:space="preserve">es. </w:t>
      </w:r>
    </w:p>
    <w:p w14:paraId="20DB4F58" w14:textId="77777777"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lastRenderedPageBreak/>
        <w:t xml:space="preserve">Line </w:t>
      </w:r>
      <w:r w:rsidR="00A32947">
        <w:rPr>
          <w:rFonts w:ascii="Arial" w:hAnsi="Arial" w:cs="Arial"/>
          <w:b/>
          <w:color w:val="000000"/>
          <w:lang w:val="en-US"/>
        </w:rPr>
        <w:t>C</w:t>
      </w:r>
      <w:r w:rsidR="00A32947" w:rsidRPr="00F521F1">
        <w:rPr>
          <w:rFonts w:ascii="Arial" w:hAnsi="Arial" w:cs="Arial"/>
          <w:b/>
          <w:color w:val="000000"/>
          <w:lang w:val="en-US"/>
        </w:rPr>
        <w:t>39</w:t>
      </w:r>
      <w:r w:rsidR="00A32947" w:rsidRPr="00346354">
        <w:rPr>
          <w:rFonts w:ascii="Arial" w:hAnsi="Arial" w:cs="Arial"/>
          <w:color w:val="000000"/>
          <w:lang w:val="en-US"/>
        </w:rPr>
        <w:t xml:space="preserve"> </w:t>
      </w:r>
      <w:r w:rsidRPr="00346354">
        <w:rPr>
          <w:rFonts w:ascii="Arial" w:hAnsi="Arial" w:cs="Arial"/>
          <w:color w:val="000000"/>
          <w:lang w:val="en-US"/>
        </w:rPr>
        <w:t xml:space="preserve">- Reinsurance </w:t>
      </w:r>
      <w:proofErr w:type="spellStart"/>
      <w:r w:rsidRPr="00346354">
        <w:rPr>
          <w:rFonts w:ascii="Arial" w:hAnsi="Arial" w:cs="Arial"/>
          <w:color w:val="000000"/>
          <w:lang w:val="en-US"/>
        </w:rPr>
        <w:t>recoverables</w:t>
      </w:r>
      <w:proofErr w:type="spellEnd"/>
      <w:r w:rsidRPr="00346354">
        <w:rPr>
          <w:rFonts w:ascii="Arial" w:hAnsi="Arial" w:cs="Arial"/>
          <w:color w:val="000000"/>
          <w:lang w:val="en-US"/>
        </w:rPr>
        <w:t xml:space="preserve"> (Health similar to life</w:t>
      </w:r>
      <w:r w:rsidR="003A485F">
        <w:rPr>
          <w:rFonts w:ascii="Arial" w:hAnsi="Arial" w:cs="Arial"/>
          <w:color w:val="000000"/>
          <w:lang w:val="en-US"/>
        </w:rPr>
        <w:t xml:space="preserve"> (R0320, C0010)</w:t>
      </w:r>
      <w:r w:rsidRPr="00346354">
        <w:rPr>
          <w:rFonts w:ascii="Arial" w:hAnsi="Arial" w:cs="Arial"/>
          <w:color w:val="000000"/>
          <w:lang w:val="en-US"/>
        </w:rPr>
        <w:t xml:space="preserve">): Reinsurers’ share of technical provisions relating to health similar to life should be reported within this line. </w:t>
      </w:r>
    </w:p>
    <w:p w14:paraId="187FA775" w14:textId="77777777"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A32947">
        <w:rPr>
          <w:rFonts w:ascii="Arial" w:hAnsi="Arial" w:cs="Arial"/>
          <w:b/>
          <w:color w:val="000000"/>
          <w:lang w:val="en-US"/>
        </w:rPr>
        <w:t>C</w:t>
      </w:r>
      <w:r w:rsidR="00A32947" w:rsidRPr="001B4618">
        <w:rPr>
          <w:rFonts w:ascii="Arial" w:hAnsi="Arial" w:cs="Arial"/>
          <w:b/>
          <w:color w:val="000000"/>
          <w:lang w:val="en-US"/>
        </w:rPr>
        <w:t>40</w:t>
      </w:r>
      <w:r w:rsidR="00A32947" w:rsidRPr="001B4618">
        <w:rPr>
          <w:rFonts w:ascii="Arial" w:hAnsi="Arial" w:cs="Arial"/>
          <w:color w:val="000000"/>
          <w:lang w:val="en-US"/>
        </w:rPr>
        <w:t xml:space="preserve"> </w:t>
      </w:r>
      <w:r w:rsidRPr="001B4618">
        <w:rPr>
          <w:rFonts w:ascii="Arial" w:hAnsi="Arial" w:cs="Arial"/>
          <w:color w:val="000000"/>
          <w:lang w:val="en-US"/>
        </w:rPr>
        <w:t xml:space="preserve">- Reinsurance </w:t>
      </w:r>
      <w:proofErr w:type="spellStart"/>
      <w:r w:rsidRPr="001B4618">
        <w:rPr>
          <w:rFonts w:ascii="Arial" w:hAnsi="Arial" w:cs="Arial"/>
          <w:color w:val="000000"/>
          <w:lang w:val="en-US"/>
        </w:rPr>
        <w:t>recoverables</w:t>
      </w:r>
      <w:proofErr w:type="spellEnd"/>
      <w:r w:rsidRPr="001B4618">
        <w:rPr>
          <w:rFonts w:ascii="Arial" w:hAnsi="Arial" w:cs="Arial"/>
          <w:color w:val="000000"/>
          <w:lang w:val="en-US"/>
        </w:rPr>
        <w:t xml:space="preserve"> (Life</w:t>
      </w:r>
      <w:r w:rsidR="00437D23" w:rsidRPr="001B4618">
        <w:rPr>
          <w:rFonts w:ascii="Arial" w:hAnsi="Arial" w:cs="Arial"/>
          <w:color w:val="000000"/>
          <w:lang w:val="en-US"/>
        </w:rPr>
        <w:t xml:space="preserve"> excluding health and index-linked and unit-linked</w:t>
      </w:r>
      <w:r w:rsidR="003A485F">
        <w:rPr>
          <w:rFonts w:ascii="Arial" w:hAnsi="Arial" w:cs="Arial"/>
          <w:color w:val="000000"/>
          <w:lang w:val="en-US"/>
        </w:rPr>
        <w:t xml:space="preserve"> (R0330, C0010)</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should be reported within this line. </w:t>
      </w:r>
    </w:p>
    <w:p w14:paraId="7447E7BA" w14:textId="77777777"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42</w:t>
      </w:r>
      <w:r w:rsidR="00A32947" w:rsidRPr="00346354">
        <w:rPr>
          <w:rFonts w:ascii="Arial" w:hAnsi="Arial" w:cs="Arial"/>
          <w:color w:val="000000"/>
          <w:lang w:val="en-US"/>
        </w:rPr>
        <w:t xml:space="preserve"> </w:t>
      </w:r>
      <w:r w:rsidRPr="00346354">
        <w:rPr>
          <w:rFonts w:ascii="Arial" w:hAnsi="Arial" w:cs="Arial"/>
          <w:color w:val="000000"/>
          <w:lang w:val="en-US"/>
        </w:rPr>
        <w:t>– Life index-linked and unit-linked</w:t>
      </w:r>
      <w:r w:rsidR="003A485F">
        <w:rPr>
          <w:rFonts w:ascii="Arial" w:hAnsi="Arial" w:cs="Arial"/>
          <w:color w:val="000000"/>
          <w:lang w:val="en-US"/>
        </w:rPr>
        <w:t xml:space="preserve"> (R0340, C0010)</w:t>
      </w:r>
      <w:r w:rsidRPr="00346354">
        <w:rPr>
          <w:rFonts w:ascii="Arial" w:hAnsi="Arial" w:cs="Arial"/>
          <w:color w:val="000000"/>
          <w:lang w:val="en-US"/>
        </w:rPr>
        <w:t xml:space="preserve">: Reinsurers’ share of technical provisions relating to life index-linked and unit-linked 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591BB91" w14:textId="77777777" w:rsidR="00A512A4" w:rsidRPr="007A4FAA" w:rsidRDefault="00C723C2"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A4FAA">
        <w:rPr>
          <w:rFonts w:ascii="Arial" w:hAnsi="Arial" w:cs="Arial"/>
          <w:b/>
          <w:color w:val="000000"/>
          <w:lang w:val="en-US"/>
        </w:rPr>
        <w:t>Line C43</w:t>
      </w:r>
      <w:r>
        <w:rPr>
          <w:rFonts w:ascii="Arial" w:hAnsi="Arial" w:cs="Arial"/>
          <w:b/>
          <w:color w:val="000000"/>
          <w:lang w:val="en-US"/>
        </w:rPr>
        <w:t xml:space="preserve"> - </w:t>
      </w:r>
      <w:r w:rsidRPr="007A4FAA">
        <w:rPr>
          <w:rFonts w:ascii="Arial" w:hAnsi="Arial" w:cs="Arial"/>
          <w:color w:val="000000"/>
          <w:lang w:val="en-US"/>
        </w:rPr>
        <w:t xml:space="preserve">Sub-total </w:t>
      </w:r>
      <w:r w:rsidR="00FC5393">
        <w:rPr>
          <w:rFonts w:ascii="Arial" w:hAnsi="Arial" w:cs="Arial"/>
          <w:color w:val="000000"/>
          <w:lang w:val="en-US"/>
        </w:rPr>
        <w:t>r</w:t>
      </w:r>
      <w:r w:rsidRPr="007A4FAA">
        <w:rPr>
          <w:rFonts w:ascii="Arial" w:hAnsi="Arial" w:cs="Arial"/>
          <w:color w:val="000000"/>
          <w:lang w:val="en-US"/>
        </w:rPr>
        <w:t xml:space="preserve">einsurance </w:t>
      </w:r>
      <w:proofErr w:type="spellStart"/>
      <w:r w:rsidRPr="007A4FAA">
        <w:rPr>
          <w:rFonts w:ascii="Arial" w:hAnsi="Arial" w:cs="Arial"/>
          <w:color w:val="000000"/>
          <w:lang w:val="en-US"/>
        </w:rPr>
        <w:t>recoverables</w:t>
      </w:r>
      <w:proofErr w:type="spellEnd"/>
      <w:r>
        <w:rPr>
          <w:rFonts w:ascii="Arial" w:hAnsi="Arial" w:cs="Arial"/>
          <w:color w:val="000000"/>
          <w:lang w:val="en-US"/>
        </w:rPr>
        <w:t xml:space="preserve"> (R0270, C0010): </w:t>
      </w:r>
      <w:r w:rsidR="0061772E">
        <w:rPr>
          <w:rFonts w:ascii="Arial" w:hAnsi="Arial" w:cs="Arial"/>
          <w:color w:val="000000"/>
          <w:lang w:val="en-US"/>
        </w:rPr>
        <w:t>L</w:t>
      </w:r>
      <w:r>
        <w:rPr>
          <w:rFonts w:ascii="Arial" w:hAnsi="Arial" w:cs="Arial"/>
          <w:color w:val="000000"/>
          <w:lang w:val="en-US"/>
        </w:rPr>
        <w:t xml:space="preserve">ines C38 + C41 + C42 must equal to </w:t>
      </w:r>
      <w:proofErr w:type="spellStart"/>
      <w:r>
        <w:rPr>
          <w:rFonts w:ascii="Arial" w:hAnsi="Arial" w:cs="Arial"/>
          <w:color w:val="000000"/>
          <w:lang w:val="en-US"/>
        </w:rPr>
        <w:t>recoverables</w:t>
      </w:r>
      <w:proofErr w:type="spellEnd"/>
      <w:r>
        <w:rPr>
          <w:rFonts w:ascii="Arial" w:hAnsi="Arial" w:cs="Arial"/>
          <w:color w:val="000000"/>
          <w:lang w:val="en-US"/>
        </w:rPr>
        <w:t xml:space="preserve"> reported on </w:t>
      </w:r>
      <w:r w:rsidR="00EA7D7E">
        <w:rPr>
          <w:rFonts w:ascii="Arial" w:hAnsi="Arial" w:cs="Arial"/>
          <w:color w:val="000000"/>
          <w:lang w:val="en-US"/>
        </w:rPr>
        <w:t xml:space="preserve">forms </w:t>
      </w:r>
      <w:r>
        <w:rPr>
          <w:rFonts w:ascii="Arial" w:hAnsi="Arial" w:cs="Arial"/>
          <w:color w:val="000000"/>
          <w:lang w:val="en-US"/>
        </w:rPr>
        <w:t>QSR 240 + QSR 280 + QSR 283.</w:t>
      </w:r>
    </w:p>
    <w:p w14:paraId="42D559DB"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w:t>
      </w:r>
      <w:r w:rsidR="00A32947">
        <w:rPr>
          <w:rFonts w:ascii="Arial" w:hAnsi="Arial" w:cs="Arial"/>
          <w:b/>
          <w:color w:val="000000"/>
          <w:lang w:val="en-US"/>
        </w:rPr>
        <w:t>4</w:t>
      </w:r>
      <w:r w:rsidR="00A32947">
        <w:rPr>
          <w:rFonts w:ascii="Arial" w:hAnsi="Arial" w:cs="Arial"/>
          <w:color w:val="000000"/>
          <w:lang w:val="en-US"/>
        </w:rPr>
        <w:t xml:space="preserve"> </w:t>
      </w:r>
      <w:r>
        <w:rPr>
          <w:rFonts w:ascii="Arial" w:hAnsi="Arial" w:cs="Arial"/>
          <w:color w:val="000000"/>
          <w:lang w:val="en-US"/>
        </w:rPr>
        <w:t>– Deposits to cedants</w:t>
      </w:r>
      <w:r w:rsidR="003A485F">
        <w:rPr>
          <w:rFonts w:ascii="Arial" w:hAnsi="Arial" w:cs="Arial"/>
          <w:color w:val="000000"/>
          <w:lang w:val="en-US"/>
        </w:rPr>
        <w:t xml:space="preserve"> (R0350, C0010)</w:t>
      </w:r>
      <w:r>
        <w:rPr>
          <w:rFonts w:ascii="Arial" w:hAnsi="Arial" w:cs="Arial"/>
          <w:color w:val="000000"/>
          <w:lang w:val="en-US"/>
        </w:rPr>
        <w:t xml:space="preserve">: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7F2BBD">
        <w:rPr>
          <w:rFonts w:ascii="Arial" w:hAnsi="Arial" w:cs="Arial"/>
          <w:color w:val="000000"/>
          <w:lang w:val="en-US"/>
        </w:rPr>
        <w:t>##</w:t>
      </w:r>
      <w:r w:rsidRPr="001E64AC">
        <w:rPr>
          <w:rFonts w:ascii="Arial" w:hAnsi="Arial" w:cs="Arial"/>
          <w:color w:val="000000"/>
          <w:lang w:val="en-US"/>
        </w:rPr>
        <w:t>75</w:t>
      </w:r>
      <w:r w:rsidR="007F2BBD">
        <w:rPr>
          <w:rFonts w:ascii="Arial" w:hAnsi="Arial" w:cs="Arial"/>
          <w:color w:val="000000"/>
          <w:lang w:val="en-US"/>
        </w:rPr>
        <w:t xml:space="preserve"> on QAD230</w:t>
      </w:r>
      <w:r w:rsidRPr="001E64AC">
        <w:rPr>
          <w:rFonts w:ascii="Arial" w:hAnsi="Arial" w:cs="Arial"/>
          <w:color w:val="000000"/>
          <w:lang w:val="en-US"/>
        </w:rPr>
        <w:t>.</w:t>
      </w:r>
    </w:p>
    <w:p w14:paraId="0DE4F889" w14:textId="77777777" w:rsidR="003A3D89" w:rsidRPr="00E6427F" w:rsidRDefault="004A1C88" w:rsidP="003A3D89">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A32947">
        <w:rPr>
          <w:rFonts w:ascii="Arial" w:hAnsi="Arial" w:cs="Arial"/>
          <w:b/>
          <w:color w:val="000000"/>
          <w:lang w:val="en-US"/>
        </w:rPr>
        <w:t>C</w:t>
      </w:r>
      <w:r w:rsidR="00A32947" w:rsidRPr="008263FD">
        <w:rPr>
          <w:rFonts w:ascii="Arial" w:hAnsi="Arial" w:cs="Arial"/>
          <w:b/>
          <w:color w:val="000000"/>
          <w:lang w:val="en-US"/>
        </w:rPr>
        <w:t>4</w:t>
      </w:r>
      <w:r w:rsidR="00A32947">
        <w:rPr>
          <w:rFonts w:ascii="Arial" w:hAnsi="Arial" w:cs="Arial"/>
          <w:b/>
          <w:color w:val="000000"/>
          <w:lang w:val="en-US"/>
        </w:rPr>
        <w:t>5</w:t>
      </w:r>
      <w:r w:rsidR="00A32947">
        <w:rPr>
          <w:rFonts w:ascii="Arial" w:hAnsi="Arial" w:cs="Arial"/>
          <w:color w:val="000000"/>
          <w:lang w:val="en-US"/>
        </w:rPr>
        <w:t xml:space="preserve"> </w:t>
      </w:r>
      <w:r>
        <w:rPr>
          <w:rFonts w:ascii="Arial" w:hAnsi="Arial" w:cs="Arial"/>
          <w:color w:val="000000"/>
          <w:lang w:val="en-US"/>
        </w:rPr>
        <w:t xml:space="preserve">– </w:t>
      </w:r>
      <w:r w:rsidRPr="00E6427F">
        <w:rPr>
          <w:rFonts w:ascii="Arial" w:hAnsi="Arial" w:cs="Arial"/>
          <w:color w:val="000000"/>
          <w:lang w:val="en-US"/>
        </w:rPr>
        <w:t xml:space="preserve">Insurance </w:t>
      </w:r>
      <w:r w:rsidR="00CC2F80">
        <w:rPr>
          <w:rFonts w:ascii="Arial" w:hAnsi="Arial" w:cs="Arial"/>
          <w:color w:val="000000"/>
          <w:lang w:val="en-US"/>
        </w:rPr>
        <w:t>and</w:t>
      </w:r>
      <w:r w:rsidRPr="00E6427F">
        <w:rPr>
          <w:rFonts w:ascii="Arial" w:hAnsi="Arial" w:cs="Arial"/>
          <w:color w:val="000000"/>
          <w:lang w:val="en-US"/>
        </w:rPr>
        <w:t xml:space="preserve"> intermediaries receivables</w:t>
      </w:r>
      <w:r w:rsidR="003A485F" w:rsidRPr="00E6427F">
        <w:rPr>
          <w:rFonts w:ascii="Arial" w:hAnsi="Arial" w:cs="Arial"/>
          <w:color w:val="000000"/>
          <w:lang w:val="en-US"/>
        </w:rPr>
        <w:t xml:space="preserve"> (R0360, C0010)</w:t>
      </w:r>
      <w:r w:rsidRPr="00E6427F">
        <w:rPr>
          <w:rFonts w:ascii="Arial" w:hAnsi="Arial" w:cs="Arial"/>
          <w:color w:val="000000"/>
          <w:lang w:val="en-US"/>
        </w:rPr>
        <w:t xml:space="preserve">: These are amounts due by policyholders, intermediaries, </w:t>
      </w:r>
      <w:r w:rsidRPr="008505E4">
        <w:rPr>
          <w:rFonts w:ascii="Arial" w:hAnsi="Arial" w:cs="Arial"/>
          <w:color w:val="000000"/>
          <w:lang w:val="en-US"/>
        </w:rPr>
        <w:t>other insurers, and linked to insura</w:t>
      </w:r>
      <w:r w:rsidRPr="008918D7">
        <w:rPr>
          <w:rFonts w:ascii="Arial" w:hAnsi="Arial" w:cs="Arial"/>
          <w:color w:val="000000"/>
          <w:lang w:val="en-US"/>
        </w:rPr>
        <w:t xml:space="preserve">nce business, but that are not included in </w:t>
      </w:r>
      <w:r w:rsidRPr="00E6427F">
        <w:rPr>
          <w:rFonts w:ascii="Arial" w:hAnsi="Arial" w:cs="Arial"/>
          <w:color w:val="000000"/>
          <w:lang w:val="en-US"/>
        </w:rPr>
        <w:t xml:space="preserve">technical provisions. Includes also amounts overdue by policyholders and insurance intermediaries (e.g. premiums due but not yet received). </w:t>
      </w:r>
      <w:r w:rsidR="003A3D89" w:rsidRPr="00D353C8">
        <w:rPr>
          <w:rFonts w:ascii="Arial" w:hAnsi="Arial" w:cs="Arial"/>
          <w:lang w:val="en-US"/>
        </w:rPr>
        <w:t>It shall include receivables from reinsurance accepted. For Solvency II column (C0010) this cell should only include amounts past-due.</w:t>
      </w:r>
    </w:p>
    <w:p w14:paraId="72ECCBB1" w14:textId="77777777" w:rsidR="006B3ACE" w:rsidRDefault="006B3ACE" w:rsidP="000C661A">
      <w:pPr>
        <w:spacing w:after="120" w:line="280" w:lineRule="atLeast"/>
        <w:rPr>
          <w:rFonts w:ascii="Arial" w:hAnsi="Arial" w:cs="Arial"/>
          <w:b/>
          <w:color w:val="000000"/>
          <w:lang w:val="en-US"/>
        </w:rPr>
      </w:pPr>
    </w:p>
    <w:p w14:paraId="241F484F" w14:textId="7E3C85FA" w:rsidR="000C661A" w:rsidRPr="00E6427F" w:rsidRDefault="004A1C88" w:rsidP="000C661A">
      <w:pPr>
        <w:spacing w:after="120" w:line="280" w:lineRule="atLeast"/>
        <w:rPr>
          <w:rFonts w:ascii="Arial" w:hAnsi="Arial" w:cs="Arial"/>
          <w:color w:val="000000"/>
          <w:lang w:val="en-US"/>
        </w:rPr>
      </w:pPr>
      <w:r w:rsidRPr="008505E4">
        <w:rPr>
          <w:rFonts w:ascii="Arial" w:hAnsi="Arial" w:cs="Arial"/>
          <w:b/>
          <w:color w:val="000000"/>
          <w:lang w:val="en-US"/>
        </w:rPr>
        <w:t xml:space="preserve">Line </w:t>
      </w:r>
      <w:r w:rsidR="00A32947" w:rsidRPr="008918D7">
        <w:rPr>
          <w:rFonts w:ascii="Arial" w:hAnsi="Arial" w:cs="Arial"/>
          <w:b/>
          <w:color w:val="000000"/>
          <w:lang w:val="en-US"/>
        </w:rPr>
        <w:t>C46</w:t>
      </w:r>
      <w:r w:rsidR="00A32947" w:rsidRPr="008918D7">
        <w:rPr>
          <w:rFonts w:ascii="Arial" w:hAnsi="Arial" w:cs="Arial"/>
          <w:color w:val="000000"/>
          <w:lang w:val="en-US"/>
        </w:rPr>
        <w:t xml:space="preserve"> </w:t>
      </w:r>
      <w:r w:rsidRPr="008918D7">
        <w:rPr>
          <w:rFonts w:ascii="Arial" w:hAnsi="Arial" w:cs="Arial"/>
          <w:color w:val="000000"/>
          <w:lang w:val="en-US"/>
        </w:rPr>
        <w:t>– Reinsurance receivables</w:t>
      </w:r>
      <w:r w:rsidR="003A485F" w:rsidRPr="008918D7">
        <w:rPr>
          <w:rFonts w:ascii="Arial" w:hAnsi="Arial" w:cs="Arial"/>
          <w:color w:val="000000"/>
          <w:lang w:val="en-US"/>
        </w:rPr>
        <w:t xml:space="preserve"> (R0370, C0010)</w:t>
      </w:r>
      <w:r w:rsidRPr="008918D7">
        <w:rPr>
          <w:rFonts w:ascii="Arial" w:hAnsi="Arial" w:cs="Arial"/>
          <w:color w:val="000000"/>
          <w:lang w:val="en-US"/>
        </w:rPr>
        <w:t>: These are</w:t>
      </w:r>
      <w:r>
        <w:rPr>
          <w:rFonts w:ascii="Arial" w:hAnsi="Arial" w:cs="Arial"/>
          <w:color w:val="000000"/>
          <w:lang w:val="en-US"/>
        </w:rPr>
        <w:t xml:space="preserve"> a</w:t>
      </w:r>
      <w:r w:rsidRPr="00887B22">
        <w:rPr>
          <w:rFonts w:ascii="Arial" w:hAnsi="Arial" w:cs="Arial"/>
          <w:color w:val="000000"/>
          <w:lang w:val="en-US"/>
        </w:rPr>
        <w:t xml:space="preserve">mounts </w:t>
      </w:r>
      <w:r w:rsidR="008918D7">
        <w:rPr>
          <w:rFonts w:ascii="Arial" w:hAnsi="Arial" w:cs="Arial"/>
          <w:color w:val="000000"/>
          <w:lang w:val="en-US"/>
        </w:rPr>
        <w:t>payment</w:t>
      </w:r>
      <w:r w:rsidRPr="00887B22">
        <w:rPr>
          <w:rFonts w:ascii="Arial" w:hAnsi="Arial" w:cs="Arial"/>
          <w:color w:val="000000"/>
          <w:lang w:val="en-US"/>
        </w:rPr>
        <w:t xml:space="preserve"> by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w:t>
      </w:r>
      <w:proofErr w:type="spellStart"/>
      <w:r w:rsidRPr="00887B22">
        <w:rPr>
          <w:rFonts w:ascii="Arial" w:hAnsi="Arial" w:cs="Arial"/>
          <w:color w:val="000000"/>
          <w:lang w:val="en-US"/>
        </w:rPr>
        <w:t>recoverables</w:t>
      </w:r>
      <w:proofErr w:type="spellEnd"/>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t>It m</w:t>
      </w:r>
      <w:r>
        <w:rPr>
          <w:rFonts w:ascii="Arial" w:hAnsi="Arial" w:cs="Arial"/>
          <w:color w:val="000000"/>
          <w:lang w:val="en-US"/>
        </w:rPr>
        <w:t>ay</w:t>
      </w:r>
      <w:r w:rsidRPr="00887B22">
        <w:rPr>
          <w:rFonts w:ascii="Arial" w:hAnsi="Arial" w:cs="Arial"/>
          <w:color w:val="000000"/>
          <w:lang w:val="en-US"/>
        </w:rPr>
        <w:t xml:space="preserve"> include creditors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8918D7">
        <w:rPr>
          <w:rFonts w:ascii="Arial" w:hAnsi="Arial" w:cs="Arial"/>
          <w:color w:val="000000"/>
          <w:lang w:val="en-US"/>
        </w:rPr>
        <w:t xml:space="preserve"> </w:t>
      </w:r>
      <w:r w:rsidR="000C661A" w:rsidRPr="00D353C8">
        <w:rPr>
          <w:rFonts w:ascii="Arial" w:hAnsi="Arial" w:cs="Arial"/>
          <w:lang w:val="en-US"/>
        </w:rPr>
        <w:t>For Solvency II column (C0010) this cell should only include amounts past-due.</w:t>
      </w:r>
    </w:p>
    <w:p w14:paraId="5F25BC70"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47</w:t>
      </w:r>
      <w:r w:rsidR="00A32947">
        <w:rPr>
          <w:rFonts w:ascii="Arial" w:hAnsi="Arial" w:cs="Arial"/>
          <w:color w:val="000000"/>
          <w:lang w:val="en-US"/>
        </w:rPr>
        <w:t xml:space="preserve"> </w:t>
      </w:r>
      <w:r>
        <w:rPr>
          <w:rFonts w:ascii="Arial" w:hAnsi="Arial" w:cs="Arial"/>
          <w:color w:val="000000"/>
          <w:lang w:val="en-US"/>
        </w:rPr>
        <w:t>– Receivables (trade, not insurance)</w:t>
      </w:r>
      <w:r w:rsidR="003A485F">
        <w:rPr>
          <w:rFonts w:ascii="Arial" w:hAnsi="Arial" w:cs="Arial"/>
          <w:color w:val="000000"/>
          <w:lang w:val="en-US"/>
        </w:rPr>
        <w:t xml:space="preserve"> (R0380, C0010)</w:t>
      </w:r>
      <w:r>
        <w:rPr>
          <w:rFonts w:ascii="Arial" w:hAnsi="Arial" w:cs="Arial"/>
          <w:color w:val="000000"/>
          <w:lang w:val="en-US"/>
        </w:rPr>
        <w:t xml:space="preserv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45BB084D" w14:textId="77777777"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48</w:t>
      </w:r>
      <w:r w:rsidR="00A32947" w:rsidRPr="00C513AE">
        <w:rPr>
          <w:rFonts w:ascii="Arial" w:hAnsi="Arial" w:cs="Arial"/>
          <w:color w:val="000000"/>
          <w:lang w:val="en-US"/>
        </w:rPr>
        <w:t xml:space="preserve"> </w:t>
      </w:r>
      <w:r w:rsidRPr="00C513AE">
        <w:rPr>
          <w:rFonts w:ascii="Arial" w:hAnsi="Arial" w:cs="Arial"/>
          <w:color w:val="000000"/>
          <w:lang w:val="en-US"/>
        </w:rPr>
        <w:t>– Own shares</w:t>
      </w:r>
      <w:r w:rsidR="00437D23">
        <w:rPr>
          <w:rFonts w:ascii="Arial" w:hAnsi="Arial" w:cs="Arial"/>
          <w:color w:val="000000"/>
          <w:lang w:val="en-US"/>
        </w:rPr>
        <w:t xml:space="preserve"> (held directly)</w:t>
      </w:r>
      <w:r w:rsidR="003A485F">
        <w:rPr>
          <w:rFonts w:ascii="Arial" w:hAnsi="Arial" w:cs="Arial"/>
          <w:color w:val="000000"/>
          <w:lang w:val="en-US"/>
        </w:rPr>
        <w:t xml:space="preserve"> (R0390, C0010)</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by the undertakings. Syndicates do not have shares, hence no amount is expected within this line.</w:t>
      </w:r>
    </w:p>
    <w:p w14:paraId="333A563A" w14:textId="77777777"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49</w:t>
      </w:r>
      <w:r w:rsidR="00A32947">
        <w:rPr>
          <w:rFonts w:ascii="Arial" w:hAnsi="Arial" w:cs="Arial"/>
          <w:lang w:val="en-US"/>
        </w:rPr>
        <w:t xml:space="preserve"> </w:t>
      </w:r>
      <w:r>
        <w:rPr>
          <w:rFonts w:ascii="Arial" w:hAnsi="Arial" w:cs="Arial"/>
          <w:lang w:val="en-US"/>
        </w:rPr>
        <w:t>– These are amounts due in respect of own fund items or initial fund called up but not yet paid in</w:t>
      </w:r>
      <w:r w:rsidR="003A485F">
        <w:rPr>
          <w:rFonts w:ascii="Arial" w:hAnsi="Arial" w:cs="Arial"/>
          <w:lang w:val="en-US"/>
        </w:rPr>
        <w:t xml:space="preserve"> R0400, C0010)</w:t>
      </w:r>
      <w:r>
        <w:rPr>
          <w:rFonts w:ascii="Arial" w:hAnsi="Arial" w:cs="Arial"/>
          <w:lang w:val="en-US"/>
        </w:rPr>
        <w:t>: This would mainly relate to Funds in Syndicate (FIS) that has been called up but had not been paid by year end. We do not expect syndicates to have any unpaid FIS, hence no amount is expected within this line.</w:t>
      </w:r>
    </w:p>
    <w:p w14:paraId="600ACA42" w14:textId="77777777"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A32947">
        <w:rPr>
          <w:rFonts w:ascii="Arial" w:hAnsi="Arial" w:cs="Arial"/>
          <w:b/>
          <w:color w:val="000000"/>
          <w:lang w:val="en-US"/>
        </w:rPr>
        <w:t>C50</w:t>
      </w:r>
      <w:r w:rsidR="00A32947" w:rsidRPr="00247C18">
        <w:rPr>
          <w:rFonts w:ascii="Arial" w:hAnsi="Arial" w:cs="Arial"/>
          <w:color w:val="000000"/>
          <w:lang w:val="en-US"/>
        </w:rPr>
        <w:t xml:space="preserve"> </w:t>
      </w:r>
      <w:r w:rsidRPr="00247C18">
        <w:rPr>
          <w:rFonts w:ascii="Arial" w:hAnsi="Arial" w:cs="Arial"/>
          <w:color w:val="000000"/>
          <w:lang w:val="en-US"/>
        </w:rPr>
        <w:t>– Cash and cash equivalents</w:t>
      </w:r>
      <w:r w:rsidR="003A485F">
        <w:rPr>
          <w:rFonts w:ascii="Arial" w:hAnsi="Arial" w:cs="Arial"/>
          <w:color w:val="000000"/>
          <w:lang w:val="en-US"/>
        </w:rPr>
        <w:t xml:space="preserve"> (R0410, C0010)</w:t>
      </w:r>
      <w:r w:rsidRPr="00247C18">
        <w:rPr>
          <w:rFonts w:ascii="Arial" w:hAnsi="Arial" w:cs="Arial"/>
          <w:color w:val="000000"/>
          <w:lang w:val="en-US"/>
        </w:rPr>
        <w:t xml:space="preserve">: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cheque, draft, </w:t>
      </w:r>
      <w:proofErr w:type="spellStart"/>
      <w:r w:rsidRPr="00247C18">
        <w:rPr>
          <w:rFonts w:ascii="Arial" w:hAnsi="Arial" w:cs="Arial"/>
          <w:lang w:val="en-US"/>
        </w:rPr>
        <w:t>giro</w:t>
      </w:r>
      <w:proofErr w:type="spellEnd"/>
      <w:r w:rsidRPr="00247C18">
        <w:rPr>
          <w:rFonts w:ascii="Arial" w:hAnsi="Arial" w:cs="Arial"/>
          <w:lang w:val="en-US"/>
        </w:rPr>
        <w:t xml:space="preserve">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1A5840">
        <w:rPr>
          <w:rFonts w:ascii="Arial" w:hAnsi="Arial" w:cs="Arial"/>
          <w:lang w:val="en-US"/>
        </w:rPr>
        <w:t>##</w:t>
      </w:r>
      <w:r w:rsidRPr="00BE0C0D">
        <w:rPr>
          <w:rFonts w:ascii="Arial" w:hAnsi="Arial" w:cs="Arial"/>
          <w:lang w:val="en-US"/>
        </w:rPr>
        <w:t xml:space="preserve">71 and </w:t>
      </w:r>
      <w:r w:rsidR="001A5840">
        <w:rPr>
          <w:rFonts w:ascii="Arial" w:hAnsi="Arial" w:cs="Arial"/>
          <w:lang w:val="en-US"/>
        </w:rPr>
        <w:t>##</w:t>
      </w:r>
      <w:r w:rsidRPr="00BE0C0D">
        <w:rPr>
          <w:rFonts w:ascii="Arial" w:hAnsi="Arial" w:cs="Arial"/>
          <w:lang w:val="en-US"/>
        </w:rPr>
        <w:t>72</w:t>
      </w:r>
      <w:r w:rsidR="001A5840">
        <w:rPr>
          <w:rFonts w:ascii="Arial" w:hAnsi="Arial" w:cs="Arial"/>
          <w:lang w:val="en-US"/>
        </w:rPr>
        <w:t xml:space="preserve"> on QAD230</w:t>
      </w:r>
      <w:r w:rsidRPr="00BE0C0D">
        <w:rPr>
          <w:rFonts w:ascii="Arial" w:hAnsi="Arial" w:cs="Arial"/>
          <w:lang w:val="en-US"/>
        </w:rPr>
        <w:t>.</w:t>
      </w:r>
    </w:p>
    <w:p w14:paraId="18FE21FE"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686AC2D8"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3A08F8">
        <w:rPr>
          <w:rFonts w:ascii="Arial" w:hAnsi="Arial" w:cs="Arial"/>
          <w:b/>
          <w:color w:val="000000"/>
          <w:lang w:val="en-US"/>
        </w:rPr>
        <w:t>51</w:t>
      </w:r>
      <w:r w:rsidR="00A32947" w:rsidRPr="00346354">
        <w:rPr>
          <w:rFonts w:ascii="Arial" w:hAnsi="Arial" w:cs="Arial"/>
          <w:color w:val="000000"/>
          <w:lang w:val="en-US"/>
        </w:rPr>
        <w:t xml:space="preserve"> </w:t>
      </w:r>
      <w:r w:rsidRPr="00346354">
        <w:rPr>
          <w:rFonts w:ascii="Arial" w:hAnsi="Arial" w:cs="Arial"/>
          <w:color w:val="000000"/>
          <w:lang w:val="en-US"/>
        </w:rPr>
        <w:t>– Any other assets, not elsewhere shown</w:t>
      </w:r>
      <w:r w:rsidR="003A485F">
        <w:rPr>
          <w:rFonts w:ascii="Arial" w:hAnsi="Arial" w:cs="Arial"/>
          <w:color w:val="000000"/>
          <w:lang w:val="en-US"/>
        </w:rPr>
        <w:t xml:space="preserve"> (R0420, C0010)</w:t>
      </w:r>
      <w:r w:rsidRPr="00346354">
        <w:rPr>
          <w:rFonts w:ascii="Arial" w:hAnsi="Arial" w:cs="Arial"/>
          <w:color w:val="000000"/>
          <w:lang w:val="en-US"/>
        </w:rPr>
        <w:t>: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62C1D3CD" w14:textId="77777777"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A32947">
        <w:rPr>
          <w:rFonts w:ascii="Arial" w:hAnsi="Arial" w:cs="Arial"/>
          <w:b/>
          <w:color w:val="000000"/>
          <w:lang w:val="en-US"/>
        </w:rPr>
        <w:t>C</w:t>
      </w:r>
      <w:r w:rsidR="00A32947" w:rsidRPr="00D743DB">
        <w:rPr>
          <w:rFonts w:ascii="Arial" w:hAnsi="Arial" w:cs="Arial"/>
          <w:b/>
          <w:color w:val="000000"/>
          <w:lang w:val="en-US"/>
        </w:rPr>
        <w:t>52</w:t>
      </w:r>
      <w:r w:rsidR="00A32947">
        <w:rPr>
          <w:rFonts w:ascii="Arial" w:hAnsi="Arial" w:cs="Arial"/>
          <w:color w:val="000000"/>
          <w:lang w:val="en-US"/>
        </w:rPr>
        <w:t xml:space="preserve"> </w:t>
      </w:r>
      <w:r>
        <w:rPr>
          <w:rFonts w:ascii="Arial" w:hAnsi="Arial" w:cs="Arial"/>
          <w:color w:val="000000"/>
          <w:lang w:val="en-US"/>
        </w:rPr>
        <w:t xml:space="preserve">– </w:t>
      </w:r>
      <w:r w:rsidR="003A485F">
        <w:rPr>
          <w:rFonts w:ascii="Arial" w:hAnsi="Arial" w:cs="Arial"/>
          <w:color w:val="000000"/>
          <w:lang w:val="en-US"/>
        </w:rPr>
        <w:t>Total assets (R0500, C0010)</w:t>
      </w:r>
      <w:r w:rsidR="00661F00">
        <w:rPr>
          <w:rFonts w:ascii="Arial" w:hAnsi="Arial" w:cs="Arial"/>
          <w:color w:val="000000"/>
          <w:lang w:val="en-US"/>
        </w:rPr>
        <w:t>: This</w:t>
      </w:r>
      <w:r>
        <w:rPr>
          <w:rFonts w:ascii="Arial" w:hAnsi="Arial" w:cs="Arial"/>
          <w:color w:val="000000"/>
          <w:lang w:val="en-US"/>
        </w:rPr>
        <w:t xml:space="preserve"> is the overall total amount of all assets.</w:t>
      </w:r>
      <w:r w:rsidR="00D743DB">
        <w:rPr>
          <w:rFonts w:ascii="Arial" w:hAnsi="Arial" w:cs="Arial"/>
          <w:color w:val="000000"/>
          <w:lang w:val="en-US"/>
        </w:rPr>
        <w:t xml:space="preserve">  </w:t>
      </w:r>
    </w:p>
    <w:p w14:paraId="40E73890" w14:textId="77777777" w:rsidR="00F95D51" w:rsidRDefault="00F95D51"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0171C508" w14:textId="77777777" w:rsidR="004A1C88"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lastRenderedPageBreak/>
        <w:t>Liabilities</w:t>
      </w:r>
    </w:p>
    <w:p w14:paraId="04A079C9" w14:textId="77777777" w:rsidR="004A1C88" w:rsidRPr="00887B22"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887B22">
        <w:rPr>
          <w:rFonts w:ascii="Arial" w:hAnsi="Arial" w:cs="Arial"/>
          <w:b/>
          <w:color w:val="000000"/>
          <w:lang w:val="en-US"/>
        </w:rPr>
        <w:t>Technical provisions</w:t>
      </w:r>
      <w:r w:rsidR="009948F3">
        <w:rPr>
          <w:rFonts w:ascii="Arial" w:hAnsi="Arial" w:cs="Arial"/>
          <w:b/>
          <w:color w:val="000000"/>
          <w:lang w:val="en-US"/>
        </w:rPr>
        <w:t xml:space="preserve"> (lines </w:t>
      </w:r>
      <w:r w:rsidR="00A32947">
        <w:rPr>
          <w:rFonts w:ascii="Arial" w:hAnsi="Arial" w:cs="Arial"/>
          <w:b/>
          <w:color w:val="000000"/>
          <w:lang w:val="en-US"/>
        </w:rPr>
        <w:t xml:space="preserve">C53 </w:t>
      </w:r>
      <w:r w:rsidR="009948F3">
        <w:rPr>
          <w:rFonts w:ascii="Arial" w:hAnsi="Arial" w:cs="Arial"/>
          <w:b/>
          <w:color w:val="000000"/>
          <w:lang w:val="en-US"/>
        </w:rPr>
        <w:t xml:space="preserve">to </w:t>
      </w:r>
      <w:r w:rsidR="00A32947">
        <w:rPr>
          <w:rFonts w:ascii="Arial" w:hAnsi="Arial" w:cs="Arial"/>
          <w:b/>
          <w:color w:val="000000"/>
          <w:lang w:val="en-US"/>
        </w:rPr>
        <w:t>C73</w:t>
      </w:r>
      <w:r w:rsidR="009948F3">
        <w:rPr>
          <w:rFonts w:ascii="Arial" w:hAnsi="Arial" w:cs="Arial"/>
          <w:b/>
          <w:color w:val="000000"/>
          <w:lang w:val="en-US"/>
        </w:rPr>
        <w:t>)</w:t>
      </w:r>
    </w:p>
    <w:p w14:paraId="1B6CB824" w14:textId="4040DA6C" w:rsidR="004A1C88" w:rsidRDefault="004A1C88" w:rsidP="0036277B">
      <w:pPr>
        <w:spacing w:after="120" w:line="280" w:lineRule="atLeast"/>
        <w:rPr>
          <w:rStyle w:val="Hyperlink"/>
          <w:rFonts w:ascii="Arial" w:hAnsi="Arial" w:cs="Arial"/>
          <w:color w:val="auto"/>
          <w:u w:val="none"/>
        </w:rPr>
      </w:pPr>
      <w:r w:rsidRPr="003E0071">
        <w:rPr>
          <w:rFonts w:ascii="Arial" w:hAnsi="Arial" w:cs="Arial"/>
          <w:color w:val="000000"/>
        </w:rPr>
        <w:t>These should be valued in accordance with</w:t>
      </w:r>
      <w:r w:rsidR="00DA1167">
        <w:rPr>
          <w:rFonts w:ascii="Arial" w:hAnsi="Arial" w:cs="Arial"/>
          <w:color w:val="000000"/>
        </w:rPr>
        <w:t xml:space="preserve"> the 2024 guidance on technical provision</w:t>
      </w:r>
      <w:r w:rsidRPr="003E0071">
        <w:rPr>
          <w:rFonts w:ascii="Arial" w:hAnsi="Arial" w:cs="Arial"/>
          <w:color w:val="000000"/>
        </w:rPr>
        <w:t xml:space="preserve">. These instructions can be accessed through the following link: </w:t>
      </w:r>
      <w:hyperlink r:id="rId31" w:history="1">
        <w:r w:rsidR="004D186D" w:rsidRPr="000005CD">
          <w:rPr>
            <w:rStyle w:val="Hyperlink"/>
            <w:rFonts w:ascii="NHaasGroteskTXStd-55Rg" w:hAnsi="NHaasGroteskTXStd-55Rg" w:cs="Arial"/>
            <w:sz w:val="21"/>
            <w:szCs w:val="21"/>
          </w:rPr>
          <w:t>Lloyds Solvency II Technical Provisions Guidance</w:t>
        </w:r>
        <w:r w:rsidR="006E47CC">
          <w:rPr>
            <w:rStyle w:val="Hyperlink"/>
            <w:rFonts w:ascii="NHaasGroteskTXStd-55Rg" w:hAnsi="NHaasGroteskTXStd-55Rg" w:cs="Arial"/>
            <w:sz w:val="21"/>
            <w:szCs w:val="21"/>
          </w:rPr>
          <w:t xml:space="preserve"> 2024</w:t>
        </w:r>
      </w:hyperlink>
      <w:r w:rsidR="004D186D">
        <w:rPr>
          <w:rStyle w:val="Hyperlink"/>
          <w:rFonts w:ascii="Arial" w:hAnsi="Arial" w:cs="Arial"/>
          <w:color w:val="auto"/>
          <w:u w:val="none"/>
        </w:rPr>
        <w:t xml:space="preserve"> </w:t>
      </w:r>
    </w:p>
    <w:p w14:paraId="34E0EAD1" w14:textId="77777777" w:rsidR="007D45A4" w:rsidRDefault="007D45A4" w:rsidP="007D45A4">
      <w:pPr>
        <w:rPr>
          <w:rFonts w:ascii="Arial" w:hAnsi="Arial" w:cs="Arial"/>
          <w:color w:val="000000"/>
          <w:u w:val="single"/>
        </w:rPr>
      </w:pPr>
      <w:r w:rsidRPr="007A4FAA">
        <w:rPr>
          <w:rFonts w:ascii="Arial" w:hAnsi="Arial" w:cs="Arial"/>
          <w:color w:val="000000"/>
          <w:u w:val="single"/>
        </w:rPr>
        <w:t>Treatment of unexpired risks</w:t>
      </w:r>
    </w:p>
    <w:p w14:paraId="339D3525" w14:textId="77777777" w:rsidR="007D45A4" w:rsidRPr="007A4FAA" w:rsidRDefault="007D45A4" w:rsidP="007A4FAA">
      <w:pPr>
        <w:rPr>
          <w:rFonts w:ascii="Arial" w:hAnsi="Arial" w:cs="Arial"/>
          <w:color w:val="000000"/>
          <w:u w:val="single"/>
        </w:rPr>
      </w:pPr>
    </w:p>
    <w:p w14:paraId="310CAD23"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4E5AEDFF"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Where unearned premium is unprofitable at a level which the Managing Agent considers the business is managed together consideration should be given to inclusion of an </w:t>
      </w:r>
      <w:r>
        <w:rPr>
          <w:rFonts w:ascii="Arial" w:hAnsi="Arial" w:cs="Arial"/>
          <w:color w:val="000000"/>
          <w:sz w:val="20"/>
          <w:lang w:val="en-GB" w:eastAsia="en-GB"/>
        </w:rPr>
        <w:t>unexpired risk reserve (</w:t>
      </w:r>
      <w:r w:rsidRPr="007A4FAA">
        <w:rPr>
          <w:rFonts w:ascii="Arial" w:hAnsi="Arial" w:cs="Arial"/>
          <w:color w:val="000000"/>
          <w:sz w:val="20"/>
          <w:lang w:val="en-GB" w:eastAsia="en-GB"/>
        </w:rPr>
        <w:t>URR</w:t>
      </w:r>
      <w:r>
        <w:rPr>
          <w:rFonts w:ascii="Arial" w:hAnsi="Arial" w:cs="Arial"/>
          <w:color w:val="000000"/>
          <w:sz w:val="20"/>
          <w:lang w:val="en-GB" w:eastAsia="en-GB"/>
        </w:rPr>
        <w:t>)</w:t>
      </w:r>
      <w:r w:rsidRPr="007A4FAA">
        <w:rPr>
          <w:rFonts w:ascii="Arial" w:hAnsi="Arial" w:cs="Arial"/>
          <w:color w:val="000000"/>
          <w:sz w:val="20"/>
          <w:lang w:val="en-GB" w:eastAsia="en-GB"/>
        </w:rPr>
        <w:t xml:space="preserve"> on a UK GAAP basis.</w:t>
      </w:r>
    </w:p>
    <w:p w14:paraId="11691C67"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URR included in the GAAP balance sheet should be removed in preparing the SII balance sheet, along with UPR and DAC.</w:t>
      </w:r>
    </w:p>
    <w:p w14:paraId="0873659A"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74CEE48B" w14:textId="77777777" w:rsidR="004A1C88" w:rsidRPr="004E03F3" w:rsidRDefault="004A1C88" w:rsidP="00C532DC">
      <w:pPr>
        <w:spacing w:after="120" w:line="280" w:lineRule="atLeast"/>
        <w:rPr>
          <w:rFonts w:ascii="Arial" w:hAnsi="Arial" w:cs="Arial"/>
          <w:color w:val="000000"/>
          <w:u w:val="single"/>
        </w:rPr>
      </w:pPr>
      <w:r w:rsidRPr="004E03F3">
        <w:rPr>
          <w:rFonts w:ascii="Arial" w:hAnsi="Arial" w:cs="Arial"/>
          <w:color w:val="000000"/>
          <w:u w:val="single"/>
        </w:rPr>
        <w:t>Risk margin</w:t>
      </w:r>
    </w:p>
    <w:p w14:paraId="5AE0D9E4"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A risk margin increases the discounted best estimate technical provisions to the theoretical value needed to transfer the obligations to another insurance entity.</w:t>
      </w:r>
    </w:p>
    <w:p w14:paraId="0D88449B" w14:textId="7999A7D0" w:rsidR="00580013" w:rsidRDefault="00580013" w:rsidP="00580013">
      <w:pPr>
        <w:spacing w:after="120" w:line="280" w:lineRule="atLeast"/>
        <w:rPr>
          <w:rFonts w:ascii="Arial" w:hAnsi="Arial" w:cs="Arial"/>
          <w:color w:val="000000"/>
        </w:rPr>
      </w:pPr>
      <w:r w:rsidRPr="003F39F1">
        <w:rPr>
          <w:rFonts w:ascii="Arial" w:hAnsi="Arial" w:cs="Arial"/>
          <w:color w:val="000000"/>
        </w:rPr>
        <w:t xml:space="preserve">The Government’s reforms to the risk margin are set out in the Insurance and Reinsurance Undertakings (Prudential Requirements) (Risk Margin) Regulations 2023 and </w:t>
      </w:r>
      <w:r w:rsidR="00F51721">
        <w:rPr>
          <w:rFonts w:ascii="Arial" w:hAnsi="Arial" w:cs="Arial"/>
          <w:color w:val="000000"/>
        </w:rPr>
        <w:t xml:space="preserve">came </w:t>
      </w:r>
      <w:r w:rsidRPr="003F39F1">
        <w:rPr>
          <w:rFonts w:ascii="Arial" w:hAnsi="Arial" w:cs="Arial"/>
          <w:color w:val="000000"/>
        </w:rPr>
        <w:t xml:space="preserve">into force on 31 December 2023. </w:t>
      </w:r>
    </w:p>
    <w:p w14:paraId="3FBC999E" w14:textId="77777777" w:rsidR="00580013" w:rsidRPr="003F76ED" w:rsidRDefault="00580013" w:rsidP="00580013">
      <w:pPr>
        <w:spacing w:after="120" w:line="280" w:lineRule="atLeast"/>
        <w:rPr>
          <w:rFonts w:ascii="Arial" w:hAnsi="Arial" w:cs="Arial"/>
          <w:color w:val="000000"/>
        </w:rPr>
      </w:pPr>
      <w:r w:rsidRPr="003F76ED">
        <w:rPr>
          <w:rFonts w:ascii="Arial" w:hAnsi="Arial" w:cs="Arial"/>
          <w:color w:val="000000"/>
        </w:rPr>
        <w:t>Specifically, HMT’s SI makes an amendment to the Commission Delegated Regulation (EU) 2015/35 to:</w:t>
      </w:r>
    </w:p>
    <w:p w14:paraId="415E1BCA"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reduce the cost of capital rate from 6% to 4% for life and non-life insurance and reinsurance obligations; and</w:t>
      </w:r>
    </w:p>
    <w:p w14:paraId="525CE29B"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amend the risk margin formula and introduce a risk tapering factor of 0.9 for life insurance and reinsurance obligations, subject to a floor of 0.25.</w:t>
      </w:r>
    </w:p>
    <w:p w14:paraId="506E466C" w14:textId="77777777" w:rsidR="00580013" w:rsidRPr="006512B9" w:rsidRDefault="00580013" w:rsidP="00580013">
      <w:pPr>
        <w:spacing w:after="120" w:line="280" w:lineRule="atLeast"/>
        <w:rPr>
          <w:rFonts w:ascii="Arial" w:hAnsi="Arial" w:cs="Arial"/>
          <w:color w:val="000000"/>
        </w:rPr>
      </w:pPr>
      <w:r w:rsidRPr="006512B9">
        <w:rPr>
          <w:rFonts w:ascii="Arial" w:hAnsi="Arial" w:cs="Arial"/>
          <w:color w:val="000000"/>
        </w:rPr>
        <w:t xml:space="preserve">The statement also sets out how </w:t>
      </w:r>
      <w:r>
        <w:rPr>
          <w:rFonts w:ascii="Arial" w:hAnsi="Arial" w:cs="Arial"/>
          <w:color w:val="000000"/>
        </w:rPr>
        <w:t>Managing Agents</w:t>
      </w:r>
      <w:r w:rsidRPr="006512B9">
        <w:rPr>
          <w:rFonts w:ascii="Arial" w:hAnsi="Arial" w:cs="Arial"/>
          <w:color w:val="000000"/>
        </w:rPr>
        <w:t xml:space="preserve"> may interpret HMT’s reforms to the risk margin in respect of Periodical Payment Orders (PPOs)</w:t>
      </w:r>
      <w:r>
        <w:rPr>
          <w:rFonts w:ascii="Arial" w:hAnsi="Arial" w:cs="Arial"/>
          <w:color w:val="000000"/>
        </w:rPr>
        <w:t>, which is stated below</w:t>
      </w:r>
      <w:r w:rsidRPr="006512B9">
        <w:rPr>
          <w:rFonts w:ascii="Arial" w:hAnsi="Arial" w:cs="Arial"/>
          <w:color w:val="000000"/>
        </w:rPr>
        <w:t xml:space="preserve">. </w:t>
      </w:r>
    </w:p>
    <w:p w14:paraId="31908F93" w14:textId="77777777" w:rsidR="00580013" w:rsidRPr="006512B9" w:rsidRDefault="00580013" w:rsidP="00580013">
      <w:pPr>
        <w:pStyle w:val="ListParagraph"/>
        <w:numPr>
          <w:ilvl w:val="0"/>
          <w:numId w:val="62"/>
        </w:numPr>
        <w:spacing w:after="120" w:line="280" w:lineRule="atLeast"/>
        <w:rPr>
          <w:rFonts w:ascii="Arial" w:hAnsi="Arial" w:cs="Arial"/>
          <w:color w:val="000000"/>
          <w:sz w:val="20"/>
          <w:lang w:val="en-GB"/>
        </w:rPr>
      </w:pPr>
      <w:r w:rsidRPr="006512B9">
        <w:rPr>
          <w:rFonts w:ascii="Arial" w:hAnsi="Arial" w:cs="Arial"/>
          <w:color w:val="000000"/>
          <w:sz w:val="20"/>
          <w:lang w:val="en-GB"/>
        </w:rPr>
        <w:t>The PRA notes PPOs are eligible for the 0.9 risk tapering factor given they are treated as life insurance obligations within the existing regime</w:t>
      </w:r>
    </w:p>
    <w:p w14:paraId="11E0DB4A" w14:textId="77777777" w:rsidR="00580013" w:rsidRPr="00A82946" w:rsidRDefault="00580013" w:rsidP="00580013">
      <w:pPr>
        <w:pStyle w:val="ListParagraph"/>
        <w:numPr>
          <w:ilvl w:val="0"/>
          <w:numId w:val="62"/>
        </w:numPr>
        <w:spacing w:after="120" w:line="280" w:lineRule="atLeast"/>
        <w:rPr>
          <w:rFonts w:ascii="Arial" w:hAnsi="Arial" w:cs="Arial"/>
          <w:color w:val="000000"/>
          <w:lang w:val="en-GB"/>
        </w:rPr>
      </w:pPr>
      <w:r w:rsidRPr="006512B9">
        <w:rPr>
          <w:rFonts w:ascii="Arial" w:hAnsi="Arial" w:cs="Arial"/>
          <w:color w:val="000000"/>
          <w:sz w:val="20"/>
          <w:lang w:val="en-GB"/>
        </w:rPr>
        <w:t xml:space="preserve">Insurance firms may have a pipeline of claims which could become PPOs, of which a proportion will be settled as a cash lump-sum and the rest as PPOs. Firms’ best estimate liability calculations are based on a probabilistic expectation of how these claims will settle. The PRA does not object to firms adopting a similar approach in the risk margin calculation, where the 0.9 risk tapering factor is applied to potential PPO obligations on a probabilistic basis.  </w:t>
      </w:r>
    </w:p>
    <w:p w14:paraId="7A495409" w14:textId="3E9C31FF" w:rsidR="00580013" w:rsidRPr="00A82946" w:rsidRDefault="00580013" w:rsidP="00580013">
      <w:pPr>
        <w:pStyle w:val="ListParagraph"/>
        <w:numPr>
          <w:ilvl w:val="0"/>
          <w:numId w:val="62"/>
        </w:numPr>
        <w:spacing w:after="120" w:line="280" w:lineRule="atLeast"/>
        <w:rPr>
          <w:color w:val="000000"/>
          <w:lang w:val="en-GB"/>
        </w:rPr>
      </w:pPr>
      <w:r>
        <w:rPr>
          <w:rFonts w:ascii="Arial" w:hAnsi="Arial" w:cs="Arial"/>
          <w:color w:val="000000"/>
          <w:sz w:val="20"/>
          <w:lang w:val="en-GB"/>
        </w:rPr>
        <w:t xml:space="preserve">Some </w:t>
      </w:r>
      <w:r w:rsidRPr="00A82946">
        <w:rPr>
          <w:rFonts w:ascii="Arial" w:hAnsi="Arial" w:cs="Arial"/>
          <w:color w:val="000000"/>
          <w:sz w:val="20"/>
          <w:lang w:val="en-GB"/>
        </w:rPr>
        <w:t xml:space="preserve">Managing Agents may not have </w:t>
      </w:r>
      <w:r>
        <w:rPr>
          <w:rFonts w:ascii="Arial" w:hAnsi="Arial" w:cs="Arial"/>
          <w:color w:val="000000"/>
          <w:sz w:val="20"/>
          <w:lang w:val="en-GB"/>
        </w:rPr>
        <w:t>systems</w:t>
      </w:r>
      <w:r w:rsidRPr="00A82946">
        <w:rPr>
          <w:rFonts w:ascii="Arial" w:hAnsi="Arial" w:cs="Arial"/>
          <w:color w:val="000000"/>
          <w:sz w:val="20"/>
          <w:lang w:val="en-GB"/>
        </w:rPr>
        <w:t xml:space="preserve"> in place to </w:t>
      </w:r>
      <w:r>
        <w:rPr>
          <w:rFonts w:ascii="Arial" w:hAnsi="Arial" w:cs="Arial"/>
          <w:color w:val="000000"/>
          <w:sz w:val="20"/>
          <w:lang w:val="en-GB"/>
        </w:rPr>
        <w:t xml:space="preserve">project </w:t>
      </w:r>
      <w:r w:rsidRPr="00A82946">
        <w:rPr>
          <w:rFonts w:ascii="Arial" w:hAnsi="Arial" w:cs="Arial"/>
          <w:color w:val="000000"/>
          <w:sz w:val="20"/>
          <w:lang w:val="en-GB"/>
        </w:rPr>
        <w:t xml:space="preserve">capital requirements on PPO obligations only, </w:t>
      </w:r>
      <w:proofErr w:type="spellStart"/>
      <w:r w:rsidRPr="00A82946">
        <w:rPr>
          <w:rFonts w:ascii="Arial" w:hAnsi="Arial" w:cs="Arial"/>
          <w:color w:val="000000"/>
          <w:sz w:val="20"/>
          <w:lang w:val="en-GB"/>
        </w:rPr>
        <w:t>ie</w:t>
      </w:r>
      <w:proofErr w:type="spellEnd"/>
      <w:r w:rsidRPr="00A82946">
        <w:rPr>
          <w:rFonts w:ascii="Arial" w:hAnsi="Arial" w:cs="Arial"/>
          <w:color w:val="000000"/>
          <w:sz w:val="20"/>
          <w:lang w:val="en-GB"/>
        </w:rPr>
        <w:t xml:space="preserve"> separate </w:t>
      </w:r>
      <w:r>
        <w:rPr>
          <w:rFonts w:ascii="Arial" w:hAnsi="Arial" w:cs="Arial"/>
          <w:color w:val="000000"/>
          <w:sz w:val="20"/>
          <w:lang w:val="en-GB"/>
        </w:rPr>
        <w:t>from</w:t>
      </w:r>
      <w:r w:rsidRPr="00A82946">
        <w:rPr>
          <w:rFonts w:ascii="Arial" w:hAnsi="Arial" w:cs="Arial"/>
          <w:color w:val="000000"/>
          <w:sz w:val="20"/>
          <w:lang w:val="en-GB"/>
        </w:rPr>
        <w:t xml:space="preserve"> all other non-life </w:t>
      </w:r>
      <w:r>
        <w:rPr>
          <w:rFonts w:ascii="Arial" w:hAnsi="Arial" w:cs="Arial"/>
          <w:color w:val="000000"/>
          <w:sz w:val="20"/>
          <w:lang w:val="en-GB"/>
        </w:rPr>
        <w:t>lines</w:t>
      </w:r>
      <w:r w:rsidRPr="00A82946">
        <w:rPr>
          <w:rFonts w:ascii="Arial" w:hAnsi="Arial" w:cs="Arial"/>
          <w:color w:val="000000"/>
          <w:sz w:val="20"/>
          <w:lang w:val="en-GB"/>
        </w:rPr>
        <w:t xml:space="preserve"> of business, for the purpose of </w:t>
      </w:r>
      <w:r>
        <w:rPr>
          <w:rFonts w:ascii="Arial" w:hAnsi="Arial" w:cs="Arial"/>
          <w:color w:val="000000"/>
          <w:sz w:val="20"/>
          <w:lang w:val="en-GB"/>
        </w:rPr>
        <w:t>applying</w:t>
      </w:r>
      <w:r w:rsidRPr="00A82946">
        <w:rPr>
          <w:rFonts w:ascii="Arial" w:hAnsi="Arial" w:cs="Arial"/>
          <w:color w:val="000000"/>
          <w:sz w:val="20"/>
          <w:lang w:val="en-GB"/>
        </w:rPr>
        <w:t xml:space="preserve"> the 0.9 risk tapering factor. Managin</w:t>
      </w:r>
      <w:r>
        <w:rPr>
          <w:rFonts w:ascii="Arial" w:hAnsi="Arial" w:cs="Arial"/>
          <w:color w:val="000000"/>
          <w:sz w:val="20"/>
          <w:lang w:val="en-GB"/>
        </w:rPr>
        <w:t>g</w:t>
      </w:r>
      <w:r w:rsidRPr="00A82946">
        <w:rPr>
          <w:rFonts w:ascii="Arial" w:hAnsi="Arial" w:cs="Arial"/>
          <w:color w:val="000000"/>
          <w:sz w:val="20"/>
          <w:lang w:val="en-GB"/>
        </w:rPr>
        <w:t xml:space="preserve"> Agents should conside</w:t>
      </w:r>
      <w:r>
        <w:rPr>
          <w:rFonts w:ascii="Arial" w:hAnsi="Arial" w:cs="Arial"/>
          <w:color w:val="000000"/>
          <w:sz w:val="20"/>
          <w:lang w:val="en-GB"/>
        </w:rPr>
        <w:t>r</w:t>
      </w:r>
      <w:r w:rsidRPr="00A82946">
        <w:rPr>
          <w:rFonts w:ascii="Arial" w:hAnsi="Arial" w:cs="Arial"/>
          <w:color w:val="000000"/>
          <w:sz w:val="20"/>
          <w:lang w:val="en-GB"/>
        </w:rPr>
        <w:t xml:space="preserve"> the materiality of PPOs and potentia</w:t>
      </w:r>
      <w:r>
        <w:rPr>
          <w:rFonts w:ascii="Arial" w:hAnsi="Arial" w:cs="Arial"/>
          <w:color w:val="000000"/>
          <w:sz w:val="20"/>
          <w:lang w:val="en-GB"/>
        </w:rPr>
        <w:t>l</w:t>
      </w:r>
      <w:r w:rsidRPr="00A82946">
        <w:rPr>
          <w:rFonts w:ascii="Arial" w:hAnsi="Arial" w:cs="Arial"/>
          <w:color w:val="000000"/>
          <w:sz w:val="20"/>
          <w:lang w:val="en-GB"/>
        </w:rPr>
        <w:t xml:space="preserve"> PPOs within their reser</w:t>
      </w:r>
      <w:r>
        <w:rPr>
          <w:rFonts w:ascii="Arial" w:hAnsi="Arial" w:cs="Arial"/>
          <w:color w:val="000000"/>
          <w:sz w:val="20"/>
          <w:lang w:val="en-GB"/>
        </w:rPr>
        <w:t>v</w:t>
      </w:r>
      <w:r w:rsidRPr="00A82946">
        <w:rPr>
          <w:rFonts w:ascii="Arial" w:hAnsi="Arial" w:cs="Arial"/>
          <w:color w:val="000000"/>
          <w:sz w:val="20"/>
          <w:lang w:val="en-GB"/>
        </w:rPr>
        <w:t>e</w:t>
      </w:r>
      <w:r>
        <w:rPr>
          <w:rFonts w:ascii="Arial" w:hAnsi="Arial" w:cs="Arial"/>
          <w:color w:val="000000"/>
          <w:sz w:val="20"/>
          <w:lang w:val="en-GB"/>
        </w:rPr>
        <w:t>s</w:t>
      </w:r>
      <w:r w:rsidRPr="00A82946">
        <w:rPr>
          <w:rFonts w:ascii="Arial" w:hAnsi="Arial" w:cs="Arial"/>
          <w:color w:val="000000"/>
          <w:sz w:val="20"/>
          <w:lang w:val="en-GB"/>
        </w:rPr>
        <w:t xml:space="preserve"> when considering whether to appl</w:t>
      </w:r>
      <w:r>
        <w:rPr>
          <w:rFonts w:ascii="Arial" w:hAnsi="Arial" w:cs="Arial"/>
          <w:color w:val="000000"/>
          <w:sz w:val="20"/>
          <w:lang w:val="en-GB"/>
        </w:rPr>
        <w:t>y</w:t>
      </w:r>
      <w:r w:rsidRPr="00A82946">
        <w:rPr>
          <w:rFonts w:ascii="Arial" w:hAnsi="Arial" w:cs="Arial"/>
          <w:color w:val="000000"/>
          <w:sz w:val="20"/>
          <w:lang w:val="en-GB"/>
        </w:rPr>
        <w:t xml:space="preserve"> the risk tapering factor. Lloyd’s request</w:t>
      </w:r>
      <w:r>
        <w:rPr>
          <w:rFonts w:ascii="Arial" w:hAnsi="Arial" w:cs="Arial"/>
          <w:color w:val="000000"/>
          <w:sz w:val="20"/>
          <w:lang w:val="en-GB"/>
        </w:rPr>
        <w:t>s</w:t>
      </w:r>
      <w:r w:rsidRPr="00A82946">
        <w:rPr>
          <w:rFonts w:ascii="Arial" w:hAnsi="Arial" w:cs="Arial"/>
          <w:color w:val="000000"/>
          <w:sz w:val="20"/>
          <w:lang w:val="en-GB"/>
        </w:rPr>
        <w:t xml:space="preserve"> tha</w:t>
      </w:r>
      <w:r>
        <w:rPr>
          <w:rFonts w:ascii="Arial" w:hAnsi="Arial" w:cs="Arial"/>
          <w:color w:val="000000"/>
          <w:sz w:val="20"/>
          <w:lang w:val="en-GB"/>
        </w:rPr>
        <w:t>t</w:t>
      </w:r>
      <w:r w:rsidRPr="00A82946">
        <w:rPr>
          <w:rFonts w:ascii="Arial" w:hAnsi="Arial" w:cs="Arial"/>
          <w:color w:val="000000"/>
          <w:sz w:val="20"/>
          <w:lang w:val="en-GB"/>
        </w:rPr>
        <w:t xml:space="preserve"> Managing Agents discuss wit</w:t>
      </w:r>
      <w:r>
        <w:rPr>
          <w:rFonts w:ascii="Arial" w:hAnsi="Arial" w:cs="Arial"/>
          <w:color w:val="000000"/>
          <w:sz w:val="20"/>
          <w:lang w:val="en-GB"/>
        </w:rPr>
        <w:t>h</w:t>
      </w:r>
      <w:r w:rsidRPr="00A82946">
        <w:rPr>
          <w:rFonts w:ascii="Arial" w:hAnsi="Arial" w:cs="Arial"/>
          <w:color w:val="000000"/>
          <w:sz w:val="20"/>
          <w:lang w:val="en-GB"/>
        </w:rPr>
        <w:t xml:space="preserve"> their reserving point of contact wher</w:t>
      </w:r>
      <w:r>
        <w:rPr>
          <w:rFonts w:ascii="Arial" w:hAnsi="Arial" w:cs="Arial"/>
          <w:color w:val="000000"/>
          <w:sz w:val="20"/>
          <w:lang w:val="en-GB"/>
        </w:rPr>
        <w:t>e</w:t>
      </w:r>
      <w:r w:rsidRPr="00A82946">
        <w:rPr>
          <w:rFonts w:ascii="Arial" w:hAnsi="Arial" w:cs="Arial"/>
          <w:color w:val="000000"/>
          <w:sz w:val="20"/>
          <w:lang w:val="en-GB"/>
        </w:rPr>
        <w:t xml:space="preserve"> th</w:t>
      </w:r>
      <w:r>
        <w:rPr>
          <w:rFonts w:ascii="Arial" w:hAnsi="Arial" w:cs="Arial"/>
          <w:color w:val="000000"/>
          <w:sz w:val="20"/>
          <w:lang w:val="en-GB"/>
        </w:rPr>
        <w:t xml:space="preserve">ey intend to apply the risk tapering factor. </w:t>
      </w:r>
      <w:r w:rsidRPr="006512B9">
        <w:rPr>
          <w:rFonts w:ascii="Arial" w:hAnsi="Arial" w:cs="Arial"/>
          <w:color w:val="000000"/>
          <w:sz w:val="20"/>
          <w:lang w:val="en-GB"/>
        </w:rPr>
        <w:t xml:space="preserve">Further information on this can be found on the Bank Of England website: </w:t>
      </w:r>
      <w:r w:rsidR="00756741">
        <w:fldChar w:fldCharType="begin"/>
      </w:r>
      <w:r w:rsidR="00756741" w:rsidRPr="00C86924">
        <w:rPr>
          <w:lang w:val="en-GB"/>
        </w:rPr>
        <w:instrText>HYPERLINK "https://www.bankofengland.co.uk/-/media/boe/files/prudential-regulation/publication/2023/solvency-ii-review-considerations-for-year-end-2023.pdf"</w:instrText>
      </w:r>
      <w:r w:rsidR="00756741">
        <w:fldChar w:fldCharType="separate"/>
      </w:r>
      <w:r w:rsidR="00756741" w:rsidRPr="006512B9">
        <w:rPr>
          <w:rStyle w:val="Hyperlink"/>
          <w:rFonts w:ascii="Arial" w:hAnsi="Arial" w:cs="Arial"/>
          <w:sz w:val="20"/>
          <w:lang w:val="en-GB"/>
        </w:rPr>
        <w:t>Solvency II Review – considerations for year-end 2023 (bankofengland.co.uk)</w:t>
      </w:r>
      <w:r w:rsidR="00756741">
        <w:fldChar w:fldCharType="end"/>
      </w:r>
      <w:r w:rsidRPr="00A82946">
        <w:rPr>
          <w:color w:val="000000"/>
          <w:lang w:val="en-GB"/>
        </w:rPr>
        <w:t>.</w:t>
      </w:r>
    </w:p>
    <w:p w14:paraId="5D1E6CE1" w14:textId="1F813E1B"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The approach is to determine the cost of providing an amount of own funds equivalent to the Solvency Capital Requirement (SCR).</w:t>
      </w:r>
    </w:p>
    <w:p w14:paraId="4BBDA931"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lastRenderedPageBreak/>
        <w:t xml:space="preserve">The calculation of the risk margin </w:t>
      </w:r>
      <w:r w:rsidRPr="00DF3724">
        <w:rPr>
          <w:rFonts w:ascii="Arial" w:hAnsi="Arial" w:cs="Arial"/>
          <w:b/>
          <w:color w:val="000000"/>
        </w:rPr>
        <w:t>as at 31 December</w:t>
      </w:r>
      <w:r w:rsidRPr="00DF3724">
        <w:rPr>
          <w:rFonts w:ascii="Arial" w:hAnsi="Arial" w:cs="Arial"/>
          <w:color w:val="000000"/>
        </w:rPr>
        <w:t xml:space="preserve"> should be based on the following year’s SCR submitted to Lloyd’s in the most recent Lloyd’s Capital Return (LCR), plus any capital add-on notified by Lloyd’s by 31 December</w:t>
      </w:r>
      <w:r w:rsidR="00580013">
        <w:rPr>
          <w:rFonts w:ascii="Arial" w:hAnsi="Arial" w:cs="Arial"/>
          <w:color w:val="000000"/>
        </w:rPr>
        <w:t xml:space="preserve"> – albeit with the amendments as above which will not be applied to the SCR calculation</w:t>
      </w:r>
      <w:r w:rsidRPr="00DF3724">
        <w:rPr>
          <w:rFonts w:ascii="Arial" w:hAnsi="Arial" w:cs="Arial"/>
          <w:color w:val="000000"/>
        </w:rPr>
        <w:t>. However, if a revised SCR has been produced then this should be used. Adjustments to or recalculation of the risk margin should be in particular carried out if there are material deviations between the projected technical provisions used in the LCR and technical provisions reported in this return</w:t>
      </w:r>
      <w:r w:rsidR="00580013">
        <w:rPr>
          <w:rFonts w:ascii="Arial" w:hAnsi="Arial" w:cs="Arial"/>
          <w:color w:val="000000"/>
        </w:rPr>
        <w:t xml:space="preserve"> (not taking into account the cost of capital change)</w:t>
      </w:r>
      <w:r w:rsidRPr="00DF3724">
        <w:rPr>
          <w:rFonts w:ascii="Arial" w:hAnsi="Arial" w:cs="Arial"/>
          <w:color w:val="000000"/>
        </w:rPr>
        <w:t xml:space="preserve">. </w:t>
      </w:r>
    </w:p>
    <w:p w14:paraId="7343D31F" w14:textId="43557910" w:rsidR="00DF3724" w:rsidRPr="00DF3724" w:rsidRDefault="00DF3724" w:rsidP="00DF3724">
      <w:pPr>
        <w:spacing w:after="120" w:line="280" w:lineRule="atLeast"/>
        <w:rPr>
          <w:rFonts w:ascii="Arial" w:hAnsi="Arial" w:cs="Arial"/>
          <w:b/>
          <w:color w:val="000000"/>
        </w:rPr>
      </w:pPr>
      <w:r w:rsidRPr="00DF3724">
        <w:rPr>
          <w:rFonts w:ascii="Arial" w:hAnsi="Arial" w:cs="Arial"/>
          <w:color w:val="000000"/>
        </w:rPr>
        <w:t xml:space="preserve">If the syndicate does not have an approved internal model and capital is set based on the Lloyd’s Standard Model, the </w:t>
      </w:r>
      <w:hyperlink r:id="rId32" w:history="1">
        <w:r w:rsidRPr="00DF3724">
          <w:rPr>
            <w:rFonts w:ascii="Arial" w:hAnsi="Arial" w:cs="Arial"/>
            <w:color w:val="0000FF"/>
            <w:u w:val="single"/>
          </w:rPr>
          <w:t>capital guidance for new syndicates</w:t>
        </w:r>
      </w:hyperlink>
      <w:r w:rsidRPr="00DF3724">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simpli</w:t>
      </w:r>
      <w:r w:rsidR="00F51721">
        <w:rPr>
          <w:rFonts w:ascii="Arial" w:hAnsi="Arial" w:cs="Arial"/>
          <w:color w:val="000000"/>
        </w:rPr>
        <w:t>fi</w:t>
      </w:r>
      <w:r w:rsidRPr="00DF3724">
        <w:rPr>
          <w:rFonts w:ascii="Arial" w:hAnsi="Arial" w:cs="Arial"/>
          <w:color w:val="000000"/>
        </w:rPr>
        <w:t xml:space="preserve">cation given that the risk margin should be immaterial for new syndicates. </w:t>
      </w:r>
      <w:r w:rsidR="00580013" w:rsidRPr="00A82946">
        <w:rPr>
          <w:rFonts w:ascii="Arial" w:hAnsi="Arial" w:cs="Arial"/>
          <w:color w:val="000000"/>
        </w:rPr>
        <w:t>However</w:t>
      </w:r>
      <w:r w:rsidR="00580013">
        <w:rPr>
          <w:rFonts w:ascii="Arial" w:hAnsi="Arial" w:cs="Arial"/>
          <w:color w:val="000000"/>
        </w:rPr>
        <w:t>,</w:t>
      </w:r>
      <w:r w:rsidR="00580013" w:rsidRPr="00A82946">
        <w:rPr>
          <w:rFonts w:ascii="Arial" w:hAnsi="Arial" w:cs="Arial"/>
          <w:color w:val="000000"/>
        </w:rPr>
        <w:t xml:space="preserve"> we note that in the Lloyd’s Standard Model template currently on the Lloyd’s website, for syndicates in their second year of account and beyond, the default risk margin is calculated as 10% of the total current and prior years of account exposure. Given the reduction in the cost of capital underlying the risk margin since this parameter was set, syndicates should overwrite the default from 10% to 7% for the purpose of the </w:t>
      </w:r>
      <w:r w:rsidR="00753FE8">
        <w:rPr>
          <w:rFonts w:ascii="Arial" w:hAnsi="Arial" w:cs="Arial"/>
          <w:color w:val="000000"/>
        </w:rPr>
        <w:t>Q</w:t>
      </w:r>
      <w:r w:rsidR="00580013" w:rsidRPr="00A82946">
        <w:rPr>
          <w:rFonts w:ascii="Arial" w:hAnsi="Arial" w:cs="Arial"/>
          <w:color w:val="000000"/>
        </w:rPr>
        <w:t>SR submission.</w:t>
      </w:r>
      <w:r w:rsidR="00580013">
        <w:rPr>
          <w:rFonts w:ascii="Arial" w:hAnsi="Arial" w:cs="Arial"/>
          <w:color w:val="000000"/>
        </w:rPr>
        <w:t xml:space="preserve"> Syndicates may further overwrite the default </w:t>
      </w:r>
      <w:r w:rsidRPr="00DF3724">
        <w:rPr>
          <w:rFonts w:ascii="Arial" w:hAnsi="Arial" w:cs="Arial"/>
          <w:color w:val="000000"/>
        </w:rPr>
        <w:t xml:space="preserve">risk margin in the LSM and update it quarterly (as for syndicates with their own internal model). The same requirements apply to the risk margin calculation then as for syndicates with their own internal model. </w:t>
      </w:r>
      <w:r w:rsidRPr="00DF3724">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0C072EDF" w14:textId="564C62D8"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 xml:space="preserve">In discounting technical provisions, managing agents should use the risk free yield curves </w:t>
      </w:r>
      <w:hyperlink r:id="rId33" w:history="1">
        <w:r w:rsidRPr="00DF3724">
          <w:rPr>
            <w:rFonts w:ascii="Arial" w:hAnsi="Arial" w:cs="Arial"/>
            <w:color w:val="0000FF"/>
            <w:u w:val="single"/>
          </w:rPr>
          <w:t>published by the PRA</w:t>
        </w:r>
      </w:hyperlink>
      <w:r w:rsidRPr="00DF3724">
        <w:rPr>
          <w:rFonts w:ascii="Arial" w:hAnsi="Arial" w:cs="Arial"/>
          <w:color w:val="000000"/>
        </w:rPr>
        <w:t>.</w:t>
      </w:r>
      <w:r w:rsidRPr="00DF3724">
        <w:t xml:space="preserve"> </w:t>
      </w:r>
      <w:r w:rsidRPr="00DF3724">
        <w:rPr>
          <w:rFonts w:ascii="Arial" w:hAnsi="Arial" w:cs="Arial"/>
          <w:color w:val="000000"/>
        </w:rPr>
        <w:t>The rates used should be the basic risk-free rate curves with no volatility adjustment. Syndicates cannot apply matching or volatility adjustments to technical provision calculations.</w:t>
      </w:r>
    </w:p>
    <w:p w14:paraId="0A9DD5FD" w14:textId="77777777" w:rsidR="00DF3724" w:rsidRPr="00DF3724" w:rsidRDefault="00DF3724" w:rsidP="00DF3724">
      <w:pPr>
        <w:spacing w:after="320" w:line="240" w:lineRule="atLeast"/>
        <w:contextualSpacing/>
        <w:rPr>
          <w:rFonts w:ascii="Arial" w:hAnsi="Arial" w:cs="Arial"/>
          <w:lang w:eastAsia="fr-FR"/>
        </w:rPr>
      </w:pPr>
      <w:r w:rsidRPr="00DF3724">
        <w:rPr>
          <w:rFonts w:ascii="Arial" w:hAnsi="Arial" w:cs="Arial"/>
          <w:b/>
          <w:bCs/>
          <w:lang w:eastAsia="fr-FR"/>
        </w:rPr>
        <w:t>For currencies for which the PRA does not publish technical information/discount rates</w:t>
      </w:r>
      <w:r w:rsidRPr="00DF3724">
        <w:rPr>
          <w:rFonts w:ascii="Arial" w:hAnsi="Arial" w:cs="Arial"/>
          <w:lang w:eastAsia="fr-FR"/>
        </w:rPr>
        <w:t>, it is a firm’s responsibility to propose discount rates that complies with Solvency II requirements and justify its approach to its supervisor.  The PRA considers that suitable approaches may include, subject to discussion with a firm’s supervisor, use of:</w:t>
      </w:r>
    </w:p>
    <w:p w14:paraId="64270E7E" w14:textId="77777777" w:rsidR="00DF3724" w:rsidRPr="00DF3724" w:rsidRDefault="00DF3724" w:rsidP="00DF3724">
      <w:pPr>
        <w:spacing w:after="320" w:line="240" w:lineRule="atLeast"/>
        <w:contextualSpacing/>
        <w:rPr>
          <w:rFonts w:ascii="Arial" w:hAnsi="Arial" w:cs="Arial"/>
          <w:lang w:eastAsia="fr-FR"/>
        </w:rPr>
      </w:pPr>
    </w:p>
    <w:p w14:paraId="4963F1D5"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publicly available source of discount rates (e.g. from EIOPA). However, firms should consider carefully whether the public source complies with the Solvency II requirements, and what adjustments may be necessary before it is suitable for the calculation of its UK technical provisions; or</w:t>
      </w:r>
    </w:p>
    <w:p w14:paraId="1A414E19"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the discount rates of one of the PRA’s relevant currencies that is a suitable proxy for another currency, with adjustments where necessary.</w:t>
      </w:r>
    </w:p>
    <w:p w14:paraId="4C2853A2" w14:textId="77777777" w:rsidR="00DF3724" w:rsidRPr="00F94045"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asciiTheme="minorBidi" w:hAnsiTheme="minorBidi" w:cstheme="minorBidi"/>
          <w:color w:val="000000"/>
          <w:lang w:val="en-US"/>
        </w:rPr>
      </w:pPr>
      <w:r w:rsidRPr="00F94045">
        <w:rPr>
          <w:rFonts w:asciiTheme="minorBidi" w:hAnsiTheme="minorBidi" w:cstheme="minorBidi"/>
          <w:color w:val="000000"/>
          <w:lang w:val="en-US"/>
        </w:rPr>
        <w:t>Further information can be found at the following link.</w:t>
      </w:r>
    </w:p>
    <w:p w14:paraId="10725B8C" w14:textId="77777777" w:rsidR="00DF3724" w:rsidRPr="00DF3724" w:rsidRDefault="00DF3724" w:rsidP="00DF3724">
      <w:pPr>
        <w:spacing w:after="320" w:line="240" w:lineRule="atLeast"/>
        <w:rPr>
          <w:rFonts w:cs="Arial"/>
          <w:color w:val="000000"/>
          <w:lang w:val="en-US"/>
        </w:rPr>
      </w:pPr>
      <w:hyperlink r:id="rId34" w:history="1">
        <w:r w:rsidRPr="00DF3724">
          <w:rPr>
            <w:rFonts w:cs="Arial"/>
            <w:color w:val="0000FF"/>
            <w:u w:val="single"/>
            <w:lang w:val="en-US"/>
          </w:rPr>
          <w:t>https://www.bankofengland.co.uk/prudential-regulation/key-initiatives/solvency-ii/technical-information</w:t>
        </w:r>
      </w:hyperlink>
    </w:p>
    <w:p w14:paraId="4C2DA342" w14:textId="77777777" w:rsidR="004A1C88" w:rsidRPr="006E7131"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bookmarkStart w:id="1850" w:name="_Hlk61363560"/>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6E7131">
        <w:rPr>
          <w:rFonts w:ascii="Arial" w:hAnsi="Arial" w:cs="Arial"/>
          <w:lang w:val="en-US"/>
        </w:rPr>
        <w:t>replicable/</w:t>
      </w:r>
      <w:proofErr w:type="spellStart"/>
      <w:r w:rsidRPr="006E7131">
        <w:rPr>
          <w:rFonts w:ascii="Arial" w:hAnsi="Arial" w:cs="Arial"/>
          <w:lang w:val="en-US"/>
        </w:rPr>
        <w:t>hedgeable</w:t>
      </w:r>
      <w:proofErr w:type="spellEnd"/>
      <w:r w:rsidRPr="006E7131">
        <w:rPr>
          <w:rFonts w:ascii="Arial" w:hAnsi="Arial" w:cs="Arial"/>
          <w:lang w:val="en-US"/>
        </w:rPr>
        <w:t xml:space="preserve">. </w:t>
      </w:r>
      <w:r w:rsidRPr="006E7131">
        <w:rPr>
          <w:rFonts w:ascii="Arial" w:hAnsi="Arial" w:cs="Arial"/>
        </w:rPr>
        <w:t xml:space="preserve">Lloyd’s does not expect syndicates to calculate technical provisions as a whole, however, </w:t>
      </w:r>
      <w:r w:rsidRPr="006E7131">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bookmarkEnd w:id="1850"/>
    <w:p w14:paraId="0DDCF425" w14:textId="77777777" w:rsidR="00992199" w:rsidRPr="00A82946" w:rsidRDefault="00992199" w:rsidP="00117046">
      <w:pPr>
        <w:spacing w:before="120" w:line="280" w:lineRule="atLeast"/>
        <w:rPr>
          <w:rFonts w:ascii="Arial" w:hAnsi="Arial" w:cs="Arial"/>
          <w:bCs/>
        </w:rPr>
      </w:pPr>
      <w:r w:rsidRPr="00A82946">
        <w:rPr>
          <w:rFonts w:ascii="Arial" w:hAnsi="Arial" w:cs="Arial"/>
          <w:bCs/>
        </w:rPr>
        <w:lastRenderedPageBreak/>
        <w: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 as reported on QSR002</w:t>
      </w:r>
      <w:r w:rsidR="006E7131" w:rsidRPr="00A82946">
        <w:rPr>
          <w:rFonts w:ascii="Arial" w:hAnsi="Arial" w:cs="Arial"/>
          <w:bCs/>
        </w:rPr>
        <w:t xml:space="preserve"> lines 55/59/63/67</w:t>
      </w:r>
      <w:r w:rsidRPr="00A82946">
        <w:rPr>
          <w:rFonts w:ascii="Arial" w:hAnsi="Arial" w:cs="Arial"/>
          <w:bCs/>
        </w:rPr>
        <w:t xml:space="preserve"> and QSR210 line </w:t>
      </w:r>
      <w:r w:rsidR="00731D53" w:rsidRPr="00A82946">
        <w:rPr>
          <w:rFonts w:ascii="Arial" w:hAnsi="Arial" w:cs="Arial"/>
          <w:bCs/>
        </w:rPr>
        <w:t>13</w:t>
      </w:r>
      <w:r w:rsidRPr="00A82946">
        <w:rPr>
          <w:rFonts w:ascii="Arial" w:hAnsi="Arial" w:cs="Arial"/>
          <w:bCs/>
        </w:rPr>
        <w:t>.</w:t>
      </w:r>
    </w:p>
    <w:p w14:paraId="315579DC" w14:textId="77777777" w:rsidR="006E7131" w:rsidRDefault="006E713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3730B202"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A32947">
        <w:rPr>
          <w:rFonts w:ascii="Arial" w:hAnsi="Arial" w:cs="Arial"/>
          <w:b/>
          <w:color w:val="000000"/>
          <w:lang w:val="en-US"/>
        </w:rPr>
        <w:t>C69</w:t>
      </w:r>
      <w:r>
        <w:rPr>
          <w:rFonts w:ascii="Arial" w:hAnsi="Arial" w:cs="Arial"/>
          <w:b/>
          <w:color w:val="000000"/>
          <w:lang w:val="en-US"/>
        </w:rPr>
        <w:t>-72</w:t>
      </w:r>
      <w:r w:rsidRPr="000555CB">
        <w:rPr>
          <w:rFonts w:ascii="Arial" w:hAnsi="Arial" w:cs="Arial"/>
          <w:color w:val="000000"/>
          <w:lang w:val="en-US"/>
        </w:rPr>
        <w:t xml:space="preserve"> – </w:t>
      </w:r>
      <w:r>
        <w:rPr>
          <w:rFonts w:ascii="Arial" w:hAnsi="Arial" w:cs="Arial"/>
          <w:color w:val="000000"/>
          <w:lang w:val="en-US"/>
        </w:rPr>
        <w:t>Technical provisions – index linked and unit linked</w:t>
      </w:r>
      <w:r w:rsidR="003A485F">
        <w:rPr>
          <w:rFonts w:ascii="Arial" w:hAnsi="Arial" w:cs="Arial"/>
          <w:color w:val="000000"/>
          <w:lang w:val="en-US"/>
        </w:rPr>
        <w:t xml:space="preserve"> (R0690-R0720, C0010)</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6229BC55"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73</w:t>
      </w:r>
      <w:r w:rsidR="00A32947">
        <w:rPr>
          <w:rFonts w:ascii="Arial" w:hAnsi="Arial" w:cs="Arial"/>
          <w:lang w:val="en-US"/>
        </w:rPr>
        <w:t xml:space="preserve"> </w:t>
      </w:r>
      <w:r>
        <w:rPr>
          <w:rFonts w:ascii="Arial" w:hAnsi="Arial" w:cs="Arial"/>
          <w:lang w:val="en-US"/>
        </w:rPr>
        <w:t>– Other technical provisions</w:t>
      </w:r>
      <w:r w:rsidR="003A485F">
        <w:rPr>
          <w:rFonts w:ascii="Arial" w:hAnsi="Arial" w:cs="Arial"/>
          <w:lang w:val="en-US"/>
        </w:rPr>
        <w:t xml:space="preserve"> (R0730, C0010)</w:t>
      </w:r>
      <w:r>
        <w:rPr>
          <w:rFonts w:ascii="Arial" w:hAnsi="Arial" w:cs="Arial"/>
          <w:lang w:val="en-US"/>
        </w:rPr>
        <w:t xml:space="preserve">: These are other technical provisions arising from UK GAAP. This line should be nil. </w:t>
      </w:r>
    </w:p>
    <w:p w14:paraId="762AFF43" w14:textId="77777777" w:rsidR="00DC5DA8" w:rsidRDefault="00DC5DA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6A8FAD3D"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24F5FFC3" w14:textId="77777777"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A32947">
        <w:rPr>
          <w:rFonts w:ascii="Arial" w:hAnsi="Arial" w:cs="Arial"/>
          <w:b/>
          <w:color w:val="000000"/>
          <w:lang w:val="en-US"/>
        </w:rPr>
        <w:t>C</w:t>
      </w:r>
      <w:r w:rsidR="00A32947" w:rsidRPr="00E56792">
        <w:rPr>
          <w:rFonts w:ascii="Arial" w:hAnsi="Arial" w:cs="Arial"/>
          <w:b/>
          <w:color w:val="000000"/>
          <w:lang w:val="en-US"/>
        </w:rPr>
        <w:t>74</w:t>
      </w:r>
      <w:r w:rsidR="00A32947" w:rsidRPr="000555CB">
        <w:rPr>
          <w:rFonts w:ascii="Arial" w:hAnsi="Arial" w:cs="Arial"/>
          <w:color w:val="000000"/>
          <w:lang w:val="en-US"/>
        </w:rPr>
        <w:t xml:space="preserve"> </w:t>
      </w:r>
      <w:r w:rsidRPr="000555CB">
        <w:rPr>
          <w:rFonts w:ascii="Arial" w:hAnsi="Arial" w:cs="Arial"/>
          <w:color w:val="000000"/>
          <w:lang w:val="en-US"/>
        </w:rPr>
        <w:t>– Contingent liabilities</w:t>
      </w:r>
      <w:r w:rsidR="003A485F">
        <w:rPr>
          <w:rFonts w:ascii="Arial" w:hAnsi="Arial" w:cs="Arial"/>
          <w:color w:val="000000"/>
          <w:lang w:val="en-US"/>
        </w:rPr>
        <w:t xml:space="preserve"> (R0740, C0010)</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0C61A652" w14:textId="77777777" w:rsidR="004A1C88" w:rsidRPr="00247C18" w:rsidRDefault="004A1C88" w:rsidP="0036277B">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19366066" w14:textId="77777777" w:rsidR="004A1C88" w:rsidRPr="00247C18" w:rsidRDefault="004A1C88" w:rsidP="0036277B">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561CDCE7"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2C537E6F"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1A262D1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459D5B45" w14:textId="77777777"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w:t>
      </w:r>
      <w:proofErr w:type="spellStart"/>
      <w:r w:rsidRPr="006C6FB3">
        <w:rPr>
          <w:rFonts w:ascii="Arial" w:hAnsi="Arial" w:cs="Arial"/>
          <w:lang w:val="en-US"/>
        </w:rPr>
        <w:t>recognised</w:t>
      </w:r>
      <w:proofErr w:type="spellEnd"/>
      <w:r w:rsidRPr="006C6FB3">
        <w:rPr>
          <w:rFonts w:ascii="Arial" w:hAnsi="Arial" w:cs="Arial"/>
          <w:lang w:val="en-US"/>
        </w:rPr>
        <w:t xml:space="preserve"> in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1851" w:name="_Toc340233401"/>
      <w:bookmarkStart w:id="1852" w:name="_Toc340234259"/>
      <w:bookmarkStart w:id="1853" w:name="_Toc340234293"/>
      <w:bookmarkStart w:id="1854" w:name="_Toc340234363"/>
      <w:bookmarkStart w:id="1855" w:name="_Toc340234429"/>
      <w:bookmarkStart w:id="1856" w:name="_Toc340234552"/>
      <w:bookmarkStart w:id="1857" w:name="_Toc340234618"/>
      <w:bookmarkStart w:id="1858" w:name="_Toc340234685"/>
      <w:bookmarkStart w:id="1859" w:name="_Toc340234750"/>
      <w:bookmarkStart w:id="1860" w:name="_Toc340234815"/>
      <w:bookmarkStart w:id="1861" w:name="_Toc340233403"/>
      <w:bookmarkStart w:id="1862" w:name="_Toc340234261"/>
      <w:bookmarkStart w:id="1863" w:name="_Toc340234295"/>
      <w:bookmarkStart w:id="1864" w:name="_Toc340234365"/>
      <w:bookmarkStart w:id="1865" w:name="_Toc340234431"/>
      <w:bookmarkStart w:id="1866" w:name="_Toc340234554"/>
      <w:bookmarkStart w:id="1867" w:name="_Toc340234620"/>
      <w:bookmarkStart w:id="1868" w:name="_Toc340234687"/>
      <w:bookmarkStart w:id="1869" w:name="_Toc340234752"/>
      <w:bookmarkStart w:id="1870" w:name="_Toc340234817"/>
      <w:bookmarkStart w:id="1871" w:name="_Toc342040506"/>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40C34693" w14:textId="77777777"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Provisions other than technical provisions</w:t>
      </w:r>
      <w:r w:rsidR="003A485F">
        <w:rPr>
          <w:rFonts w:ascii="Arial" w:hAnsi="Arial" w:cs="Arial"/>
          <w:lang w:val="en-US"/>
        </w:rPr>
        <w:t xml:space="preserve"> (</w:t>
      </w:r>
      <w:r w:rsidR="000B1232">
        <w:rPr>
          <w:rFonts w:ascii="Arial" w:hAnsi="Arial" w:cs="Arial"/>
          <w:lang w:val="en-US"/>
        </w:rPr>
        <w:t>R0750, C0010)</w:t>
      </w:r>
      <w:r w:rsidRPr="00FB5BDC">
        <w:rPr>
          <w:rFonts w:ascii="Arial" w:hAnsi="Arial" w:cs="Arial"/>
          <w:lang w:val="en-US"/>
        </w:rPr>
        <w:t xml:space="preserve">: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1E774D72" w14:textId="77777777"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A32947">
        <w:rPr>
          <w:rFonts w:ascii="Arial" w:hAnsi="Arial" w:cs="Arial"/>
          <w:b/>
        </w:rPr>
        <w:t>C</w:t>
      </w:r>
      <w:r w:rsidR="00A32947"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000B1232">
        <w:rPr>
          <w:rFonts w:ascii="Arial" w:hAnsi="Arial" w:cs="Arial"/>
        </w:rPr>
        <w:t xml:space="preserve"> (R0760, C0010)</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p>
    <w:p w14:paraId="61E2D24C" w14:textId="77777777" w:rsidR="004A1C88" w:rsidRDefault="004A1C88" w:rsidP="00887B22">
      <w:pPr>
        <w:spacing w:after="120" w:line="280" w:lineRule="atLeast"/>
        <w:rPr>
          <w:rFonts w:ascii="Arial" w:hAnsi="Arial" w:cs="Arial"/>
          <w:lang w:val="en-US"/>
        </w:rPr>
      </w:pPr>
      <w:r w:rsidRPr="0016107E">
        <w:rPr>
          <w:rFonts w:ascii="Arial" w:hAnsi="Arial" w:cs="Arial"/>
          <w:b/>
        </w:rPr>
        <w:t xml:space="preserve">Line </w:t>
      </w:r>
      <w:r w:rsidR="00A32947">
        <w:rPr>
          <w:rFonts w:ascii="Arial" w:hAnsi="Arial" w:cs="Arial"/>
          <w:b/>
        </w:rPr>
        <w:t>C</w:t>
      </w:r>
      <w:r w:rsidR="00A32947" w:rsidRPr="0016107E">
        <w:rPr>
          <w:rFonts w:ascii="Arial" w:hAnsi="Arial" w:cs="Arial"/>
          <w:b/>
        </w:rPr>
        <w:t xml:space="preserve">77 </w:t>
      </w:r>
      <w:r w:rsidRPr="006F54CB">
        <w:rPr>
          <w:rFonts w:ascii="Arial" w:hAnsi="Arial" w:cs="Arial"/>
        </w:rPr>
        <w:t>– Deposits from reinsurers</w:t>
      </w:r>
      <w:r w:rsidR="000B1232">
        <w:rPr>
          <w:rFonts w:ascii="Arial" w:hAnsi="Arial" w:cs="Arial"/>
        </w:rPr>
        <w:t xml:space="preserve"> (R0770, C0010)</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 xml:space="preserve">mounts received from reinsurer or deducted by the reinsurer according to the </w:t>
      </w:r>
      <w:r w:rsidRPr="00252EE7">
        <w:rPr>
          <w:rFonts w:ascii="Arial" w:hAnsi="Arial" w:cs="Arial"/>
          <w:lang w:val="en-US"/>
        </w:rPr>
        <w:t>reinsurance contract.</w:t>
      </w:r>
    </w:p>
    <w:p w14:paraId="55AA9D2D" w14:textId="77777777"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A32947">
        <w:rPr>
          <w:rFonts w:ascii="Arial" w:hAnsi="Arial" w:cs="Arial"/>
          <w:b/>
        </w:rPr>
        <w:t xml:space="preserve">C78 </w:t>
      </w:r>
      <w:r w:rsidRPr="00887B22">
        <w:rPr>
          <w:rFonts w:ascii="Arial" w:hAnsi="Arial" w:cs="Arial"/>
        </w:rPr>
        <w:t>– Deferred tax liabilities</w:t>
      </w:r>
      <w:r w:rsidR="000B1232">
        <w:rPr>
          <w:rFonts w:ascii="Arial" w:hAnsi="Arial" w:cs="Arial"/>
        </w:rPr>
        <w:t xml:space="preserve"> (R0780, C0010)</w:t>
      </w:r>
      <w:r w:rsidRPr="00887B22">
        <w:rPr>
          <w:rFonts w:ascii="Arial" w:hAnsi="Arial" w:cs="Arial"/>
        </w:rPr>
        <w:t>:</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0D5CB2F3" w14:textId="777777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A32947">
        <w:rPr>
          <w:rFonts w:ascii="Arial" w:hAnsi="Arial" w:cs="Arial"/>
          <w:b/>
          <w:color w:val="000000"/>
        </w:rPr>
        <w:t>C</w:t>
      </w:r>
      <w:r w:rsidR="00A32947" w:rsidRPr="00346354">
        <w:rPr>
          <w:rFonts w:ascii="Arial" w:hAnsi="Arial" w:cs="Arial"/>
          <w:b/>
          <w:color w:val="000000"/>
        </w:rPr>
        <w:t>79</w:t>
      </w:r>
      <w:r w:rsidR="00A32947" w:rsidRPr="00D6062D">
        <w:rPr>
          <w:rFonts w:ascii="Arial" w:hAnsi="Arial" w:cs="Arial"/>
          <w:color w:val="000000"/>
        </w:rPr>
        <w:t xml:space="preserve"> </w:t>
      </w:r>
      <w:r w:rsidRPr="00D6062D">
        <w:rPr>
          <w:rFonts w:ascii="Arial" w:hAnsi="Arial" w:cs="Arial"/>
          <w:color w:val="000000"/>
        </w:rPr>
        <w:t>– Derivatives</w:t>
      </w:r>
      <w:r w:rsidR="000B1232">
        <w:rPr>
          <w:rFonts w:ascii="Arial" w:hAnsi="Arial" w:cs="Arial"/>
          <w:color w:val="000000"/>
        </w:rPr>
        <w:t xml:space="preserve"> (R0790, C0010)</w:t>
      </w:r>
      <w:r w:rsidRPr="00D6062D">
        <w:rPr>
          <w:rFonts w:ascii="Arial" w:hAnsi="Arial" w:cs="Arial"/>
          <w:color w:val="000000"/>
        </w:rPr>
        <w:t xml:space="preserve">: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w:t>
      </w:r>
      <w:r w:rsidRPr="006C6FB3">
        <w:rPr>
          <w:rFonts w:ascii="Arial" w:hAnsi="Arial" w:cs="Arial"/>
          <w:color w:val="000000"/>
          <w:lang w:val="en-US"/>
        </w:rPr>
        <w:lastRenderedPageBreak/>
        <w:t xml:space="preserve">notes. </w:t>
      </w:r>
      <w:r w:rsidR="001A5840" w:rsidRPr="001603F1">
        <w:rPr>
          <w:rFonts w:ascii="Arial" w:hAnsi="Arial" w:cs="Arial"/>
          <w:color w:val="000000"/>
          <w:lang w:val="en-US"/>
        </w:rPr>
        <w:t xml:space="preserve">Only derivative liabilities should be included in this line.  This amount must agree to total </w:t>
      </w:r>
      <w:r w:rsidR="00447A7E" w:rsidRPr="001603F1">
        <w:rPr>
          <w:rFonts w:ascii="Arial" w:hAnsi="Arial" w:cs="Arial"/>
          <w:color w:val="000000"/>
          <w:lang w:val="en-US"/>
        </w:rPr>
        <w:t>Solvency II</w:t>
      </w:r>
      <w:r w:rsidR="001A5840" w:rsidRPr="001603F1">
        <w:rPr>
          <w:rFonts w:ascii="Arial" w:hAnsi="Arial" w:cs="Arial"/>
          <w:color w:val="000000"/>
          <w:lang w:val="en-US"/>
        </w:rPr>
        <w:t xml:space="preserve"> value on QAD233 where the value is negative.</w:t>
      </w:r>
      <w:r w:rsidR="001A5840">
        <w:rPr>
          <w:rFonts w:ascii="Arial" w:hAnsi="Arial" w:cs="Arial"/>
          <w:b/>
          <w:color w:val="000000"/>
          <w:lang w:val="en-US"/>
        </w:rPr>
        <w:t xml:space="preserve">  </w:t>
      </w:r>
      <w:r w:rsidR="0028087B" w:rsidRPr="006C6FB3">
        <w:rPr>
          <w:rFonts w:ascii="Arial" w:hAnsi="Arial" w:cs="Arial"/>
          <w:color w:val="000000"/>
        </w:rPr>
        <w:t>Derivatives assets shall be reported under Line 27.</w:t>
      </w:r>
    </w:p>
    <w:p w14:paraId="3849C176" w14:textId="77777777"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80</w:t>
      </w:r>
      <w:r w:rsidR="00A32947" w:rsidRPr="006C6FB3">
        <w:rPr>
          <w:rFonts w:ascii="Arial" w:hAnsi="Arial" w:cs="Arial"/>
          <w:color w:val="000000"/>
        </w:rPr>
        <w:t xml:space="preserve"> </w:t>
      </w:r>
      <w:r w:rsidRPr="006C6FB3">
        <w:rPr>
          <w:rFonts w:ascii="Arial" w:hAnsi="Arial" w:cs="Arial"/>
          <w:color w:val="000000"/>
        </w:rPr>
        <w:t>- Debts owed to credit institutions</w:t>
      </w:r>
      <w:r w:rsidR="000B1232">
        <w:rPr>
          <w:rFonts w:ascii="Arial" w:hAnsi="Arial" w:cs="Arial"/>
          <w:color w:val="000000"/>
        </w:rPr>
        <w:t xml:space="preserve"> (R0080, C0010)</w:t>
      </w:r>
      <w:r w:rsidRPr="006C6FB3">
        <w:rPr>
          <w:rFonts w:ascii="Arial" w:hAnsi="Arial" w:cs="Arial"/>
          <w:color w:val="000000"/>
        </w:rPr>
        <w:t xml:space="preserve">: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008F93A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81</w:t>
      </w:r>
      <w:r w:rsidR="00A32947" w:rsidRPr="006C6FB3">
        <w:rPr>
          <w:rFonts w:ascii="Arial" w:hAnsi="Arial" w:cs="Arial"/>
          <w:color w:val="000000"/>
        </w:rPr>
        <w:t xml:space="preserve"> </w:t>
      </w:r>
      <w:r w:rsidRPr="006C6FB3">
        <w:rPr>
          <w:rFonts w:ascii="Arial" w:hAnsi="Arial" w:cs="Arial"/>
          <w:color w:val="000000"/>
        </w:rPr>
        <w:t>– Financial liabilities other than debts owed to credit institutions</w:t>
      </w:r>
      <w:r w:rsidR="000B1232">
        <w:rPr>
          <w:rFonts w:ascii="Arial" w:hAnsi="Arial" w:cs="Arial"/>
          <w:color w:val="000000"/>
        </w:rPr>
        <w:t xml:space="preserve"> (R0810, C0010)</w:t>
      </w:r>
      <w:r w:rsidRPr="006C6FB3">
        <w:rPr>
          <w:rFonts w:ascii="Arial" w:hAnsi="Arial" w:cs="Arial"/>
          <w:color w:val="000000"/>
        </w:rPr>
        <w:t xml:space="preserve">: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and mortgage and loans due to other entities than credit institutions. Subordinated liabilities should not be included here.</w:t>
      </w:r>
    </w:p>
    <w:p w14:paraId="1F202198" w14:textId="77777777" w:rsidR="000C661A" w:rsidRPr="00D353C8" w:rsidRDefault="004A1C88" w:rsidP="000C661A">
      <w:pPr>
        <w:spacing w:after="120" w:line="280" w:lineRule="atLeast"/>
        <w:rPr>
          <w:rFonts w:ascii="Arial" w:hAnsi="Arial" w:cs="Arial"/>
          <w:lang w:val="en-US"/>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82</w:t>
      </w:r>
      <w:r w:rsidR="00A32947" w:rsidRPr="006C6FB3">
        <w:rPr>
          <w:rFonts w:ascii="Arial" w:hAnsi="Arial" w:cs="Arial"/>
          <w:color w:val="000000"/>
        </w:rPr>
        <w:t xml:space="preserve"> </w:t>
      </w:r>
      <w:r w:rsidRPr="006C6FB3">
        <w:rPr>
          <w:rFonts w:ascii="Arial" w:hAnsi="Arial" w:cs="Arial"/>
          <w:color w:val="000000"/>
        </w:rPr>
        <w:t xml:space="preserve">– Insurance </w:t>
      </w:r>
      <w:r w:rsidR="00E41350">
        <w:rPr>
          <w:rFonts w:ascii="Arial" w:hAnsi="Arial" w:cs="Arial"/>
          <w:color w:val="000000"/>
        </w:rPr>
        <w:t>and</w:t>
      </w:r>
      <w:r w:rsidRPr="008505E4">
        <w:rPr>
          <w:rFonts w:ascii="Arial" w:hAnsi="Arial" w:cs="Arial"/>
          <w:color w:val="000000"/>
        </w:rPr>
        <w:t xml:space="preserve"> intermediaries payable</w:t>
      </w:r>
      <w:r w:rsidR="000B1232" w:rsidRPr="008505E4">
        <w:rPr>
          <w:rFonts w:ascii="Arial" w:hAnsi="Arial" w:cs="Arial"/>
          <w:color w:val="000000"/>
        </w:rPr>
        <w:t xml:space="preserve"> (R0820, C0010)</w:t>
      </w:r>
      <w:r w:rsidRPr="008505E4">
        <w:rPr>
          <w:rFonts w:ascii="Arial" w:hAnsi="Arial" w:cs="Arial"/>
          <w:color w:val="000000"/>
        </w:rPr>
        <w:t xml:space="preserve">: These are amounts </w:t>
      </w:r>
      <w:r w:rsidR="008505E4" w:rsidRPr="008505E4">
        <w:rPr>
          <w:rFonts w:ascii="Arial" w:hAnsi="Arial" w:cs="Arial"/>
          <w:color w:val="000000"/>
        </w:rPr>
        <w:t>payable</w:t>
      </w:r>
      <w:r w:rsidRPr="008505E4">
        <w:rPr>
          <w:rFonts w:ascii="Arial" w:hAnsi="Arial" w:cs="Arial"/>
          <w:color w:val="000000"/>
        </w:rPr>
        <w:t xml:space="preserve"> to policy holders, insurers</w:t>
      </w:r>
      <w:r w:rsidR="00143B30" w:rsidRPr="008918D7">
        <w:rPr>
          <w:rFonts w:ascii="Arial" w:hAnsi="Arial" w:cs="Arial"/>
          <w:color w:val="000000"/>
        </w:rPr>
        <w:t xml:space="preserve"> </w:t>
      </w:r>
      <w:r w:rsidRPr="008918D7">
        <w:rPr>
          <w:rFonts w:ascii="Arial" w:hAnsi="Arial" w:cs="Arial"/>
          <w:color w:val="000000"/>
        </w:rPr>
        <w:t xml:space="preserve">and </w:t>
      </w:r>
      <w:r w:rsidR="0028087B" w:rsidRPr="008918D7">
        <w:rPr>
          <w:rFonts w:ascii="Arial" w:hAnsi="Arial" w:cs="Arial"/>
          <w:color w:val="000000"/>
        </w:rPr>
        <w:t xml:space="preserve">other business </w:t>
      </w:r>
      <w:r w:rsidRPr="008918D7">
        <w:rPr>
          <w:rFonts w:ascii="Arial" w:hAnsi="Arial" w:cs="Arial"/>
          <w:color w:val="000000"/>
        </w:rPr>
        <w:t xml:space="preserve">linked to insurance. This would relate to amounts that not been transferred to technical provisions </w:t>
      </w:r>
      <w:r w:rsidR="00431A15" w:rsidRPr="008918D7">
        <w:rPr>
          <w:rFonts w:ascii="Arial" w:hAnsi="Arial" w:cs="Arial"/>
          <w:color w:val="000000"/>
        </w:rPr>
        <w:t>i</w:t>
      </w:r>
      <w:r w:rsidR="002005E1" w:rsidRPr="008918D7">
        <w:rPr>
          <w:rFonts w:ascii="Arial" w:hAnsi="Arial" w:cs="Arial"/>
          <w:color w:val="000000"/>
        </w:rPr>
        <w:t>.</w:t>
      </w:r>
      <w:r w:rsidR="00431A15" w:rsidRPr="00341026">
        <w:rPr>
          <w:rFonts w:ascii="Arial" w:hAnsi="Arial" w:cs="Arial"/>
          <w:color w:val="000000"/>
        </w:rPr>
        <w:t>e</w:t>
      </w:r>
      <w:r w:rsidR="002005E1" w:rsidRPr="008505E4">
        <w:rPr>
          <w:rFonts w:ascii="Arial" w:hAnsi="Arial" w:cs="Arial"/>
          <w:color w:val="000000"/>
        </w:rPr>
        <w:t>.</w:t>
      </w:r>
      <w:r w:rsidRPr="008505E4">
        <w:rPr>
          <w:rFonts w:ascii="Arial" w:hAnsi="Arial" w:cs="Arial"/>
          <w:color w:val="000000"/>
        </w:rPr>
        <w:t xml:space="preserve"> overdue amounts. This </w:t>
      </w:r>
      <w:r w:rsidR="00661F00" w:rsidRPr="00D353C8">
        <w:rPr>
          <w:rFonts w:ascii="Arial" w:hAnsi="Arial" w:cs="Arial"/>
          <w:lang w:val="en-US"/>
        </w:rPr>
        <w:t>includes</w:t>
      </w:r>
      <w:r w:rsidR="000C661A" w:rsidRPr="00D353C8">
        <w:rPr>
          <w:rFonts w:ascii="Arial" w:hAnsi="Arial" w:cs="Arial"/>
          <w:lang w:val="en-US"/>
        </w:rPr>
        <w:t xml:space="preserve"> amounts payable to (re)insurance intermediaries (e.g. commissions due to intermediaries but not yet paid by the undertaking).</w:t>
      </w:r>
      <w:r w:rsidR="008505E4" w:rsidRPr="008505E4">
        <w:rPr>
          <w:rFonts w:ascii="Arial" w:hAnsi="Arial" w:cs="Arial"/>
          <w:lang w:val="en-US"/>
        </w:rPr>
        <w:t xml:space="preserve"> </w:t>
      </w:r>
      <w:r w:rsidR="000C661A" w:rsidRPr="00D353C8">
        <w:rPr>
          <w:rFonts w:ascii="Arial" w:hAnsi="Arial" w:cs="Arial"/>
          <w:lang w:val="en-US"/>
        </w:rPr>
        <w:t>Excludes loans &amp; mortgages due to other insurance companies, if they only relate to financing and are not linked to insurance business (such loans and mortgages shall be reported as financial liabilities).</w:t>
      </w:r>
      <w:r w:rsidR="008505E4" w:rsidRPr="008505E4">
        <w:rPr>
          <w:rFonts w:ascii="Arial" w:hAnsi="Arial" w:cs="Arial"/>
          <w:lang w:val="en-US"/>
        </w:rPr>
        <w:t xml:space="preserve"> </w:t>
      </w:r>
      <w:r w:rsidR="000C661A" w:rsidRPr="00D353C8">
        <w:rPr>
          <w:rFonts w:ascii="Arial" w:hAnsi="Arial" w:cs="Arial"/>
          <w:lang w:val="en-US"/>
        </w:rPr>
        <w:t>It shall include payables from reinsurance accepted.</w:t>
      </w:r>
      <w:r w:rsidR="008918D7">
        <w:rPr>
          <w:rFonts w:ascii="Arial" w:hAnsi="Arial" w:cs="Arial"/>
          <w:lang w:val="en-US"/>
        </w:rPr>
        <w:t xml:space="preserve"> </w:t>
      </w:r>
      <w:r w:rsidR="000C661A" w:rsidRPr="00D353C8">
        <w:rPr>
          <w:rFonts w:ascii="Arial" w:hAnsi="Arial" w:cs="Arial"/>
          <w:lang w:val="en-US"/>
        </w:rPr>
        <w:t>For Solvency II column (C0010) this cell should only include amounts past-due.</w:t>
      </w:r>
    </w:p>
    <w:p w14:paraId="2EB5995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color w:val="000000"/>
        </w:rPr>
        <w:t>These excludes loans &amp; mortgages due to insurance companies, if they are not linked to insurance business but are only related to financing (and are therefore included in financial liabilities).</w:t>
      </w:r>
    </w:p>
    <w:p w14:paraId="07C86AC6" w14:textId="77777777" w:rsidR="00582D95" w:rsidRPr="00D353C8" w:rsidRDefault="004A1C88" w:rsidP="00582D95">
      <w:pPr>
        <w:spacing w:after="120" w:line="280" w:lineRule="atLeast"/>
        <w:rPr>
          <w:rFonts w:ascii="Arial" w:hAnsi="Arial" w:cs="Arial"/>
          <w:lang w:val="en-US"/>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83</w:t>
      </w:r>
      <w:r w:rsidR="00A32947" w:rsidRPr="006C6FB3">
        <w:rPr>
          <w:rFonts w:ascii="Arial" w:hAnsi="Arial" w:cs="Arial"/>
        </w:rPr>
        <w:t xml:space="preserve"> </w:t>
      </w:r>
      <w:r w:rsidRPr="008918D7">
        <w:rPr>
          <w:rFonts w:ascii="Arial" w:hAnsi="Arial" w:cs="Arial"/>
        </w:rPr>
        <w:t>– Reinsurance payables</w:t>
      </w:r>
      <w:r w:rsidR="000B1232" w:rsidRPr="008918D7">
        <w:rPr>
          <w:rFonts w:ascii="Arial" w:hAnsi="Arial" w:cs="Arial"/>
        </w:rPr>
        <w:t xml:space="preserve"> (R0830, C0010)</w:t>
      </w:r>
      <w:r w:rsidRPr="008918D7">
        <w:rPr>
          <w:rFonts w:ascii="Arial" w:hAnsi="Arial" w:cs="Arial"/>
        </w:rPr>
        <w:t xml:space="preserve">: These are amounts </w:t>
      </w:r>
      <w:r w:rsidR="008505E4" w:rsidRPr="008918D7">
        <w:rPr>
          <w:rFonts w:ascii="Arial" w:hAnsi="Arial" w:cs="Arial"/>
        </w:rPr>
        <w:t xml:space="preserve">payable </w:t>
      </w:r>
      <w:r w:rsidRPr="00341026">
        <w:rPr>
          <w:rFonts w:ascii="Arial" w:hAnsi="Arial" w:cs="Arial"/>
        </w:rPr>
        <w:t xml:space="preserve">to reinsurers </w:t>
      </w:r>
      <w:r w:rsidR="008505E4" w:rsidRPr="00D353C8">
        <w:rPr>
          <w:rFonts w:ascii="Arial" w:hAnsi="Arial" w:cs="Arial"/>
          <w:lang w:val="en-US"/>
        </w:rPr>
        <w:t xml:space="preserve">(in particular current accounts) </w:t>
      </w:r>
      <w:r w:rsidRPr="008918D7">
        <w:rPr>
          <w:rFonts w:ascii="Arial" w:hAnsi="Arial" w:cs="Arial"/>
        </w:rPr>
        <w:t xml:space="preserve">other than deposits and linked to reinsurance business, but that are not included in reinsurance </w:t>
      </w:r>
      <w:proofErr w:type="spellStart"/>
      <w:r w:rsidRPr="008918D7">
        <w:rPr>
          <w:rFonts w:ascii="Arial" w:hAnsi="Arial" w:cs="Arial"/>
        </w:rPr>
        <w:t>recoverables</w:t>
      </w:r>
      <w:proofErr w:type="spellEnd"/>
      <w:r w:rsidRPr="008918D7">
        <w:rPr>
          <w:rFonts w:ascii="Arial" w:hAnsi="Arial" w:cs="Arial"/>
        </w:rPr>
        <w:t xml:space="preserve"> </w:t>
      </w:r>
      <w:r w:rsidR="00A929F6" w:rsidRPr="008918D7">
        <w:rPr>
          <w:rFonts w:ascii="Arial" w:hAnsi="Arial" w:cs="Arial"/>
        </w:rPr>
        <w:t>i.e.</w:t>
      </w:r>
      <w:r w:rsidRPr="008918D7">
        <w:rPr>
          <w:rFonts w:ascii="Arial" w:hAnsi="Arial" w:cs="Arial"/>
        </w:rPr>
        <w:t xml:space="preserve"> not transferred to RI share of technical provisions. These include debtors to reinsurers that relate to settled </w:t>
      </w:r>
      <w:r w:rsidRPr="00341026">
        <w:rPr>
          <w:rFonts w:ascii="Arial" w:hAnsi="Arial" w:cs="Arial"/>
        </w:rPr>
        <w:t>claims of policy holders or beneficiaries.</w:t>
      </w:r>
      <w:r w:rsidR="00431A15" w:rsidRPr="008918D7">
        <w:rPr>
          <w:rFonts w:ascii="Arial" w:hAnsi="Arial" w:cs="Arial"/>
        </w:rPr>
        <w:t xml:space="preserve"> These include</w:t>
      </w:r>
      <w:r w:rsidR="00563B6F" w:rsidRPr="008918D7">
        <w:rPr>
          <w:rFonts w:ascii="Arial" w:hAnsi="Arial" w:cs="Arial"/>
          <w:lang w:val="en-US"/>
        </w:rPr>
        <w:t xml:space="preserve"> payables to reinsurers that relate to ceded premiums.</w:t>
      </w:r>
      <w:r w:rsidR="008918D7" w:rsidRPr="008918D7">
        <w:rPr>
          <w:rFonts w:ascii="Arial" w:hAnsi="Arial" w:cs="Arial"/>
          <w:lang w:val="en-US"/>
        </w:rPr>
        <w:t xml:space="preserve"> </w:t>
      </w:r>
      <w:r w:rsidR="00582D95" w:rsidRPr="00D353C8">
        <w:rPr>
          <w:rFonts w:ascii="Arial" w:hAnsi="Arial" w:cs="Arial"/>
          <w:lang w:val="en-US"/>
        </w:rPr>
        <w:t>For Solvency II column (C0010) this cell should only include amounts past-due.</w:t>
      </w:r>
    </w:p>
    <w:p w14:paraId="2EB4E6B0" w14:textId="77777777"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84</w:t>
      </w:r>
      <w:r w:rsidR="00A32947" w:rsidRPr="00346354">
        <w:rPr>
          <w:rFonts w:ascii="Arial" w:hAnsi="Arial" w:cs="Arial"/>
        </w:rPr>
        <w:t xml:space="preserve"> </w:t>
      </w:r>
      <w:r w:rsidRPr="00346354">
        <w:rPr>
          <w:rFonts w:ascii="Arial" w:hAnsi="Arial" w:cs="Arial"/>
        </w:rPr>
        <w:t>– Payables (trade, not insurance)</w:t>
      </w:r>
      <w:r w:rsidR="000B1232">
        <w:rPr>
          <w:rFonts w:ascii="Arial" w:hAnsi="Arial" w:cs="Arial"/>
        </w:rPr>
        <w:t xml:space="preserve"> (R0840, C0010)</w:t>
      </w:r>
      <w:r w:rsidRPr="00346354">
        <w:rPr>
          <w:rFonts w:ascii="Arial" w:hAnsi="Arial" w:cs="Arial"/>
        </w:rPr>
        <w:t xml:space="preserve">: This includes amounts due to employees, suppliers, etc. and not insurance-related, similar to receivables (trade, not insurance) on </w:t>
      </w:r>
      <w:r w:rsidR="00BE1A27">
        <w:rPr>
          <w:rFonts w:ascii="Arial" w:hAnsi="Arial" w:cs="Arial"/>
        </w:rPr>
        <w:t xml:space="preserve">the </w:t>
      </w:r>
      <w:r w:rsidRPr="00346354">
        <w:rPr>
          <w:rFonts w:ascii="Arial" w:hAnsi="Arial" w:cs="Arial"/>
        </w:rPr>
        <w:t>asset side; includes public entities.</w:t>
      </w:r>
    </w:p>
    <w:p w14:paraId="6D02CB55" w14:textId="77777777"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85</w:t>
      </w:r>
      <w:r w:rsidR="00A32947" w:rsidRPr="00D6062D">
        <w:rPr>
          <w:rFonts w:ascii="Arial" w:hAnsi="Arial" w:cs="Arial"/>
        </w:rPr>
        <w:t xml:space="preserve"> </w:t>
      </w:r>
      <w:r w:rsidRPr="00D6062D">
        <w:rPr>
          <w:rFonts w:ascii="Arial" w:hAnsi="Arial" w:cs="Arial"/>
        </w:rPr>
        <w:t xml:space="preserve">–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000B1232">
        <w:rPr>
          <w:rFonts w:ascii="Arial" w:hAnsi="Arial" w:cs="Arial"/>
        </w:rPr>
        <w:t xml:space="preserve"> (R0860, C0010)</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1F3F78D3" w14:textId="77777777"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A32947">
        <w:rPr>
          <w:rFonts w:ascii="Arial" w:hAnsi="Arial" w:cs="Arial"/>
          <w:b/>
        </w:rPr>
        <w:t>C</w:t>
      </w:r>
      <w:r w:rsidR="00A32947" w:rsidRPr="00887B22">
        <w:rPr>
          <w:rFonts w:ascii="Arial" w:hAnsi="Arial" w:cs="Arial"/>
          <w:b/>
        </w:rPr>
        <w:t>8</w:t>
      </w:r>
      <w:r w:rsidR="00A32947" w:rsidRPr="00FF394C">
        <w:rPr>
          <w:rFonts w:ascii="Arial" w:hAnsi="Arial" w:cs="Arial"/>
          <w:b/>
        </w:rPr>
        <w:t>6</w:t>
      </w:r>
      <w:r w:rsidR="00A32947" w:rsidRPr="00252EE7">
        <w:rPr>
          <w:rFonts w:ascii="Arial" w:hAnsi="Arial" w:cs="Arial"/>
        </w:rPr>
        <w:t xml:space="preserve"> </w:t>
      </w:r>
      <w:r w:rsidRPr="00252EE7">
        <w:rPr>
          <w:rFonts w:ascii="Arial" w:hAnsi="Arial" w:cs="Arial"/>
        </w:rPr>
        <w:t>– Subordinated liabilities in BOF</w:t>
      </w:r>
      <w:r w:rsidR="000B1232">
        <w:rPr>
          <w:rFonts w:ascii="Arial" w:hAnsi="Arial" w:cs="Arial"/>
        </w:rPr>
        <w:t xml:space="preserve"> (R0870, C0010)</w:t>
      </w:r>
      <w:r w:rsidRPr="00252EE7">
        <w:rPr>
          <w:rFonts w:ascii="Arial" w:hAnsi="Arial" w:cs="Arial"/>
        </w:rPr>
        <w:t>:</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610AF8F6" w14:textId="77777777"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A32947">
        <w:rPr>
          <w:rFonts w:ascii="Arial" w:hAnsi="Arial" w:cs="Arial"/>
          <w:b/>
        </w:rPr>
        <w:t>C</w:t>
      </w:r>
      <w:r w:rsidR="00A32947" w:rsidRPr="00887B22">
        <w:rPr>
          <w:rFonts w:ascii="Arial" w:hAnsi="Arial" w:cs="Arial"/>
          <w:b/>
        </w:rPr>
        <w:t>87</w:t>
      </w:r>
      <w:r w:rsidR="00A32947" w:rsidRPr="00FF394C">
        <w:rPr>
          <w:rFonts w:ascii="Arial" w:hAnsi="Arial" w:cs="Arial"/>
        </w:rPr>
        <w:t xml:space="preserve"> </w:t>
      </w:r>
      <w:r w:rsidRPr="00FF394C">
        <w:rPr>
          <w:rFonts w:ascii="Arial" w:hAnsi="Arial" w:cs="Arial"/>
        </w:rPr>
        <w:t>– Any other liabilities, not elsewhere shown</w:t>
      </w:r>
      <w:r w:rsidR="000B1232">
        <w:rPr>
          <w:rFonts w:ascii="Arial" w:hAnsi="Arial" w:cs="Arial"/>
        </w:rPr>
        <w:t xml:space="preserve"> (R0880, C0010)</w:t>
      </w:r>
      <w:r w:rsidRPr="00FF394C">
        <w:rPr>
          <w:rFonts w:ascii="Arial" w:hAnsi="Arial" w:cs="Arial"/>
        </w:rPr>
        <w:t>:</w:t>
      </w:r>
      <w:r w:rsidRPr="00252EE7">
        <w:rPr>
          <w:rFonts w:ascii="Arial" w:hAnsi="Arial" w:cs="Arial"/>
        </w:rPr>
        <w:t xml:space="preserve"> This includes any liabilities not included in the other balance sheet items.</w:t>
      </w:r>
      <w:r w:rsidR="00F7456C">
        <w:rPr>
          <w:rFonts w:ascii="Arial" w:hAnsi="Arial" w:cs="Arial"/>
        </w:rPr>
        <w:t xml:space="preserve"> Where an adjustment is made in line 16 of the QSR 210 for an earned margin load or an unearned profit load a corresponding adjustment should also be made here. </w:t>
      </w:r>
      <w:r w:rsidR="00F7456C" w:rsidRPr="00EF22B0">
        <w:rPr>
          <w:rFonts w:ascii="Arial" w:hAnsi="Arial" w:cs="Arial"/>
          <w:lang w:eastAsia="en-US"/>
        </w:rPr>
        <w:t>Where this approach is being used please provide appropriate commentary.</w:t>
      </w:r>
    </w:p>
    <w:p w14:paraId="7CFDEC0D"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88</w:t>
      </w:r>
      <w:r w:rsidR="00A32947" w:rsidRPr="00D6062D">
        <w:rPr>
          <w:rFonts w:ascii="Arial" w:hAnsi="Arial" w:cs="Arial"/>
        </w:rPr>
        <w:t xml:space="preserve"> </w:t>
      </w:r>
      <w:r w:rsidRPr="00D6062D">
        <w:rPr>
          <w:rFonts w:ascii="Arial" w:hAnsi="Arial" w:cs="Arial"/>
        </w:rPr>
        <w:t xml:space="preserve">– </w:t>
      </w:r>
      <w:r w:rsidR="000B1232">
        <w:rPr>
          <w:rFonts w:ascii="Arial" w:hAnsi="Arial" w:cs="Arial"/>
        </w:rPr>
        <w:t xml:space="preserve">Total liabilities (R0900, C0010): </w:t>
      </w:r>
      <w:r w:rsidRPr="00D6062D">
        <w:rPr>
          <w:rFonts w:ascii="Arial" w:hAnsi="Arial" w:cs="Arial"/>
        </w:rPr>
        <w:t>This is the overall total amount of all liabilities.</w:t>
      </w:r>
    </w:p>
    <w:p w14:paraId="3455A423"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89</w:t>
      </w:r>
      <w:r w:rsidR="00A32947" w:rsidRPr="00D6062D">
        <w:rPr>
          <w:rFonts w:ascii="Arial" w:hAnsi="Arial" w:cs="Arial"/>
        </w:rPr>
        <w:t xml:space="preserve"> </w:t>
      </w:r>
      <w:r w:rsidRPr="00D6062D">
        <w:rPr>
          <w:rFonts w:ascii="Arial" w:hAnsi="Arial" w:cs="Arial"/>
        </w:rPr>
        <w:t xml:space="preserve">-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undertaking’s excess of assets over liabilities, </w:t>
      </w:r>
      <w:r w:rsidRPr="006C6FB3">
        <w:rPr>
          <w:rFonts w:ascii="Arial" w:hAnsi="Arial" w:cs="Arial"/>
        </w:rPr>
        <w:t>valued in accordance with Solvency II valuation basis.</w:t>
      </w:r>
    </w:p>
    <w:p w14:paraId="54869E77" w14:textId="77777777" w:rsidR="00826DB9" w:rsidRDefault="00826DB9" w:rsidP="002023CB">
      <w:pPr>
        <w:spacing w:line="280" w:lineRule="atLeast"/>
        <w:rPr>
          <w:rFonts w:ascii="Arial" w:hAnsi="Arial" w:cs="Arial"/>
          <w:b/>
          <w:lang w:eastAsia="en-US"/>
        </w:rPr>
      </w:pPr>
      <w:bookmarkStart w:id="1872" w:name="_Toc346004449"/>
      <w:bookmarkStart w:id="1873" w:name="_Toc346092665"/>
      <w:bookmarkStart w:id="1874" w:name="_Toc346099755"/>
      <w:bookmarkStart w:id="1875" w:name="_Toc346099935"/>
      <w:bookmarkStart w:id="1876" w:name="_Toc346100059"/>
      <w:bookmarkStart w:id="1877" w:name="_Toc346100162"/>
      <w:bookmarkStart w:id="1878" w:name="_Toc346100265"/>
      <w:bookmarkStart w:id="1879" w:name="_Toc346118572"/>
      <w:bookmarkStart w:id="1880" w:name="_Toc346193848"/>
      <w:bookmarkStart w:id="1881" w:name="_Toc346269063"/>
      <w:bookmarkStart w:id="1882" w:name="_Toc346528054"/>
      <w:bookmarkStart w:id="1883" w:name="_Toc346541182"/>
      <w:bookmarkStart w:id="1884" w:name="_Toc346628692"/>
      <w:bookmarkStart w:id="1885" w:name="_Toc346635599"/>
      <w:bookmarkStart w:id="1886" w:name="_Toc346705525"/>
      <w:bookmarkStart w:id="1887" w:name="_Toc346801707"/>
      <w:bookmarkStart w:id="1888" w:name="_Toc346801834"/>
      <w:bookmarkStart w:id="1889" w:name="_Toc346801959"/>
      <w:bookmarkStart w:id="1890" w:name="_Toc346869424"/>
      <w:bookmarkStart w:id="1891" w:name="_Toc346886803"/>
      <w:bookmarkStart w:id="1892" w:name="_Toc346893468"/>
      <w:bookmarkStart w:id="1893" w:name="_Toc346896597"/>
      <w:bookmarkStart w:id="1894" w:name="_Toc347127764"/>
      <w:bookmarkStart w:id="1895" w:name="_Toc347131457"/>
      <w:bookmarkStart w:id="1896" w:name="_Toc347133551"/>
      <w:bookmarkStart w:id="1897" w:name="_Toc347135320"/>
      <w:bookmarkStart w:id="1898" w:name="_Toc347138618"/>
      <w:bookmarkStart w:id="1899" w:name="_Toc347152460"/>
      <w:bookmarkStart w:id="1900" w:name="_Toc347152593"/>
      <w:bookmarkStart w:id="1901" w:name="_Toc347152948"/>
      <w:bookmarkStart w:id="1902" w:name="_Toc347214393"/>
      <w:bookmarkStart w:id="1903" w:name="_Toc347303078"/>
      <w:bookmarkStart w:id="1904" w:name="_Toc347387096"/>
      <w:bookmarkStart w:id="1905" w:name="_Toc347477337"/>
      <w:bookmarkStart w:id="1906" w:name="_Toc347492933"/>
      <w:bookmarkStart w:id="1907" w:name="_Toc347494903"/>
      <w:bookmarkStart w:id="1908" w:name="_Toc347501122"/>
      <w:bookmarkStart w:id="1909" w:name="_Hlk4489609"/>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bookmarkEnd w:id="1909"/>
    <w:p w14:paraId="4B7A2D92" w14:textId="77777777" w:rsidR="009F3B9D" w:rsidRPr="002E7FAD" w:rsidRDefault="009F3B9D" w:rsidP="00655946">
      <w:pPr>
        <w:spacing w:after="120" w:line="280" w:lineRule="atLeast"/>
        <w:rPr>
          <w:rFonts w:ascii="Arial" w:hAnsi="Arial" w:cs="Arial"/>
          <w:b/>
          <w:lang w:val="en-US"/>
        </w:rPr>
      </w:pPr>
      <w:r w:rsidRPr="002E7FAD">
        <w:rPr>
          <w:rFonts w:ascii="Arial" w:hAnsi="Arial" w:cs="Arial"/>
          <w:b/>
          <w:lang w:val="en-US"/>
        </w:rPr>
        <w:t xml:space="preserve">Analysis of </w:t>
      </w:r>
      <w:r w:rsidR="002E7FAD">
        <w:rPr>
          <w:rFonts w:ascii="Arial" w:hAnsi="Arial" w:cs="Arial"/>
          <w:b/>
          <w:lang w:val="en-US"/>
        </w:rPr>
        <w:t>the Excess of assets over liabilities (</w:t>
      </w:r>
      <w:r w:rsidRPr="002E7FAD">
        <w:rPr>
          <w:rFonts w:ascii="Arial" w:hAnsi="Arial" w:cs="Arial"/>
          <w:b/>
          <w:lang w:val="en-US"/>
        </w:rPr>
        <w:t>Members’ balances</w:t>
      </w:r>
      <w:r w:rsidR="002E7FAD">
        <w:rPr>
          <w:rFonts w:ascii="Arial" w:hAnsi="Arial" w:cs="Arial"/>
          <w:b/>
          <w:lang w:val="en-US"/>
        </w:rPr>
        <w:t>)</w:t>
      </w:r>
      <w:r w:rsidRPr="002E7FAD">
        <w:rPr>
          <w:rFonts w:ascii="Arial" w:hAnsi="Arial" w:cs="Arial"/>
          <w:b/>
          <w:lang w:val="en-US"/>
        </w:rPr>
        <w:t xml:space="preserve"> – lines </w:t>
      </w:r>
      <w:r w:rsidR="004A6BA8" w:rsidRPr="002E7FAD">
        <w:rPr>
          <w:rFonts w:ascii="Arial" w:hAnsi="Arial" w:cs="Arial"/>
          <w:b/>
          <w:lang w:val="en-US"/>
        </w:rPr>
        <w:t xml:space="preserve">C90 </w:t>
      </w:r>
      <w:r w:rsidRPr="002E7FAD">
        <w:rPr>
          <w:rFonts w:ascii="Arial" w:hAnsi="Arial" w:cs="Arial"/>
          <w:b/>
          <w:lang w:val="en-US"/>
        </w:rPr>
        <w:t xml:space="preserve">to </w:t>
      </w:r>
      <w:r w:rsidR="004A6BA8" w:rsidRPr="002E7FAD">
        <w:rPr>
          <w:rFonts w:ascii="Arial" w:hAnsi="Arial" w:cs="Arial"/>
          <w:b/>
          <w:lang w:val="en-US"/>
        </w:rPr>
        <w:t>C93</w:t>
      </w:r>
    </w:p>
    <w:p w14:paraId="29331AEC" w14:textId="16C7E0BC" w:rsidR="00742F25" w:rsidRPr="002E7FAD" w:rsidRDefault="009F3B9D" w:rsidP="00742F25">
      <w:pPr>
        <w:spacing w:line="280" w:lineRule="atLeast"/>
        <w:rPr>
          <w:rFonts w:ascii="Arial" w:hAnsi="Arial" w:cs="Arial"/>
        </w:rPr>
      </w:pPr>
      <w:r w:rsidRPr="002E7FAD">
        <w:rPr>
          <w:rFonts w:ascii="Arial" w:hAnsi="Arial" w:cs="Arial"/>
        </w:rPr>
        <w:lastRenderedPageBreak/>
        <w:t>A</w:t>
      </w:r>
      <w:r w:rsidR="00742F25" w:rsidRPr="002E7FAD">
        <w:rPr>
          <w:rFonts w:ascii="Arial" w:hAnsi="Arial" w:cs="Arial"/>
        </w:rPr>
        <w:t xml:space="preserve">nalysis of line </w:t>
      </w:r>
      <w:r w:rsidR="004A6BA8" w:rsidRPr="002E7FAD">
        <w:rPr>
          <w:rFonts w:ascii="Arial" w:hAnsi="Arial" w:cs="Arial"/>
        </w:rPr>
        <w:t xml:space="preserve">C89 </w:t>
      </w:r>
      <w:r w:rsidR="002E7FAD" w:rsidRPr="002E7FAD">
        <w:rPr>
          <w:rFonts w:ascii="Arial" w:hAnsi="Arial" w:cs="Arial"/>
        </w:rPr>
        <w:t>Excess of assets over liabilities (members’ balances)</w:t>
      </w:r>
      <w:r w:rsidR="00742F25" w:rsidRPr="002E7FAD">
        <w:rPr>
          <w:rFonts w:ascii="Arial" w:hAnsi="Arial" w:cs="Arial"/>
        </w:rPr>
        <w:t xml:space="preserve"> by reporting year of account is required so that a Solvency II balance by reporting year may be allocated to members</w:t>
      </w:r>
      <w:r w:rsidR="00110B69" w:rsidRPr="002E7FAD">
        <w:rPr>
          <w:rFonts w:ascii="Arial" w:hAnsi="Arial" w:cs="Arial"/>
        </w:rPr>
        <w:t xml:space="preserve"> for the purpose of the quarterly solvency test and calculation of the member level reporting point required under Solvency II</w:t>
      </w:r>
      <w:r w:rsidR="00742F25" w:rsidRPr="002E7FAD">
        <w:rPr>
          <w:rFonts w:ascii="Arial" w:hAnsi="Arial" w:cs="Arial"/>
        </w:rPr>
        <w:t>.</w:t>
      </w:r>
      <w:r w:rsidR="002E7FAD">
        <w:rPr>
          <w:rFonts w:ascii="Arial" w:hAnsi="Arial" w:cs="Arial"/>
        </w:rPr>
        <w:t xml:space="preserve">  In </w:t>
      </w:r>
      <w:r w:rsidR="002A3F51">
        <w:rPr>
          <w:rFonts w:ascii="Arial" w:hAnsi="Arial" w:cs="Arial"/>
        </w:rPr>
        <w:t>addition,</w:t>
      </w:r>
      <w:r w:rsidR="002E7FAD">
        <w:rPr>
          <w:rFonts w:ascii="Arial" w:hAnsi="Arial" w:cs="Arial"/>
        </w:rPr>
        <w:t xml:space="preserve"> this information is also required for the Lloyd’s member level capital tests.</w:t>
      </w:r>
    </w:p>
    <w:p w14:paraId="289CA441" w14:textId="77777777" w:rsidR="00742F25" w:rsidRPr="002E7FAD" w:rsidRDefault="00742F25" w:rsidP="00742F25">
      <w:pPr>
        <w:spacing w:line="280" w:lineRule="atLeast"/>
        <w:rPr>
          <w:rFonts w:ascii="Arial" w:hAnsi="Arial" w:cs="Arial"/>
        </w:rPr>
      </w:pPr>
    </w:p>
    <w:p w14:paraId="52118F9C" w14:textId="51CA14EF" w:rsidR="00353D8B" w:rsidRPr="002E7FAD" w:rsidRDefault="00353D8B" w:rsidP="00117046">
      <w:pPr>
        <w:spacing w:line="280" w:lineRule="atLeast"/>
        <w:rPr>
          <w:rFonts w:ascii="Arial" w:hAnsi="Arial" w:cs="Arial"/>
          <w:color w:val="000000" w:themeColor="text1"/>
        </w:rPr>
      </w:pPr>
      <w:r>
        <w:rPr>
          <w:rFonts w:ascii="Arial" w:hAnsi="Arial" w:cs="Arial"/>
          <w:color w:val="000000" w:themeColor="text1"/>
        </w:rPr>
        <w:t>For Syndicates that reclass amounts due from members, from Member’s Balances into debtors on the Balance Sheet under your UK GAAP Reporting, there is no need for an adjustment to be included on line 91. If this adjustment is not made, then the amounts due from members should be included on line 91. Historically, this related to the movement of balances included under QMA215, reported as a movement in Column B of the QMA002, from line 32 to line 16 or 20, depending on aging.</w:t>
      </w:r>
    </w:p>
    <w:p w14:paraId="723FF059" w14:textId="50CD1462" w:rsidR="002A3F51" w:rsidRDefault="002A3F51" w:rsidP="002A3F51">
      <w:pPr>
        <w:spacing w:before="120" w:line="280" w:lineRule="atLeast"/>
        <w:rPr>
          <w:rFonts w:ascii="Arial" w:hAnsi="Arial" w:cs="Arial"/>
          <w:color w:val="000000" w:themeColor="text1"/>
        </w:rPr>
      </w:pPr>
      <w:r>
        <w:rPr>
          <w:rFonts w:ascii="Arial" w:hAnsi="Arial" w:cs="Arial"/>
          <w:color w:val="000000" w:themeColor="text1"/>
        </w:rPr>
        <w:t xml:space="preserve">For </w:t>
      </w:r>
      <w:r w:rsidR="004A6BA8" w:rsidRPr="002E7FAD">
        <w:rPr>
          <w:rFonts w:ascii="Arial" w:hAnsi="Arial" w:cs="Arial"/>
          <w:color w:val="000000" w:themeColor="text1"/>
        </w:rPr>
        <w:t xml:space="preserve">Syndicates that </w:t>
      </w:r>
      <w:r>
        <w:rPr>
          <w:rFonts w:ascii="Arial" w:hAnsi="Arial" w:cs="Arial"/>
          <w:color w:val="000000" w:themeColor="text1"/>
        </w:rPr>
        <w:t xml:space="preserve">have capital provided by members in </w:t>
      </w:r>
      <w:r w:rsidR="004A6BA8" w:rsidRPr="002E7FAD">
        <w:rPr>
          <w:rFonts w:ascii="Arial" w:hAnsi="Arial" w:cs="Arial"/>
          <w:color w:val="000000" w:themeColor="text1"/>
        </w:rPr>
        <w:t>“Funds in syndicate”</w:t>
      </w:r>
      <w:r>
        <w:rPr>
          <w:rFonts w:ascii="Arial" w:hAnsi="Arial" w:cs="Arial"/>
          <w:color w:val="000000" w:themeColor="text1"/>
        </w:rPr>
        <w:t xml:space="preserve">, </w:t>
      </w:r>
      <w:r w:rsidR="004A6BA8" w:rsidRPr="002E7FAD">
        <w:rPr>
          <w:rFonts w:ascii="Arial" w:hAnsi="Arial" w:cs="Arial"/>
          <w:color w:val="000000" w:themeColor="text1"/>
        </w:rPr>
        <w:t xml:space="preserve">whereby these items were a part of “Balance due from members” </w:t>
      </w:r>
      <w:r>
        <w:rPr>
          <w:rFonts w:ascii="Arial" w:hAnsi="Arial" w:cs="Arial"/>
          <w:color w:val="000000" w:themeColor="text1"/>
        </w:rPr>
        <w:t xml:space="preserve">under </w:t>
      </w:r>
      <w:r w:rsidR="00AE4B1F">
        <w:rPr>
          <w:rFonts w:ascii="Arial" w:hAnsi="Arial" w:cs="Arial"/>
          <w:color w:val="000000" w:themeColor="text1"/>
        </w:rPr>
        <w:t>UK GAAP</w:t>
      </w:r>
      <w:r>
        <w:rPr>
          <w:rFonts w:ascii="Arial" w:hAnsi="Arial" w:cs="Arial"/>
          <w:color w:val="000000" w:themeColor="text1"/>
        </w:rPr>
        <w:t>, you</w:t>
      </w:r>
      <w:r w:rsidR="004A6BA8" w:rsidRPr="002E7FAD">
        <w:rPr>
          <w:rFonts w:ascii="Arial" w:hAnsi="Arial" w:cs="Arial"/>
          <w:color w:val="000000" w:themeColor="text1"/>
        </w:rPr>
        <w:t xml:space="preserve"> will need to enter this amount on Line </w:t>
      </w:r>
      <w:r w:rsidR="00327552">
        <w:rPr>
          <w:rFonts w:ascii="Arial" w:hAnsi="Arial" w:cs="Arial"/>
          <w:color w:val="000000" w:themeColor="text1"/>
        </w:rPr>
        <w:t>91</w:t>
      </w:r>
      <w:r w:rsidR="004A6BA8" w:rsidRPr="002E7FAD">
        <w:rPr>
          <w:rFonts w:ascii="Arial" w:hAnsi="Arial" w:cs="Arial"/>
          <w:color w:val="000000" w:themeColor="text1"/>
        </w:rPr>
        <w:t xml:space="preserve"> of Q</w:t>
      </w:r>
      <w:r w:rsidR="00054A8E" w:rsidRPr="002E7FAD">
        <w:rPr>
          <w:rFonts w:ascii="Arial" w:hAnsi="Arial" w:cs="Arial"/>
          <w:color w:val="000000" w:themeColor="text1"/>
        </w:rPr>
        <w:t>SR</w:t>
      </w:r>
      <w:r w:rsidR="004A6BA8" w:rsidRPr="002E7FAD">
        <w:rPr>
          <w:rFonts w:ascii="Arial" w:hAnsi="Arial" w:cs="Arial"/>
          <w:color w:val="000000" w:themeColor="text1"/>
        </w:rPr>
        <w:t>002, Column A.</w:t>
      </w:r>
      <w:r>
        <w:rPr>
          <w:rFonts w:ascii="Arial" w:hAnsi="Arial" w:cs="Arial"/>
          <w:color w:val="000000" w:themeColor="text1"/>
        </w:rPr>
        <w:t xml:space="preserve"> Historically, this related to balances disclosed </w:t>
      </w:r>
      <w:r w:rsidRPr="002E7FAD">
        <w:rPr>
          <w:rFonts w:ascii="Arial" w:hAnsi="Arial" w:cs="Arial"/>
          <w:color w:val="000000" w:themeColor="text1"/>
        </w:rPr>
        <w:t>on QMA202 whereby these items were a part of “Balance due from members” on Line 32, Column C of Q</w:t>
      </w:r>
      <w:r>
        <w:rPr>
          <w:rFonts w:ascii="Arial" w:hAnsi="Arial" w:cs="Arial"/>
          <w:color w:val="000000" w:themeColor="text1"/>
        </w:rPr>
        <w:t>MA</w:t>
      </w:r>
      <w:r w:rsidRPr="002E7FAD">
        <w:rPr>
          <w:rFonts w:ascii="Arial" w:hAnsi="Arial" w:cs="Arial"/>
          <w:color w:val="000000" w:themeColor="text1"/>
        </w:rPr>
        <w:t>002</w:t>
      </w:r>
      <w:r>
        <w:rPr>
          <w:rFonts w:ascii="Arial" w:hAnsi="Arial" w:cs="Arial"/>
          <w:color w:val="000000" w:themeColor="text1"/>
        </w:rPr>
        <w:t>.</w:t>
      </w:r>
    </w:p>
    <w:p w14:paraId="1814F59C" w14:textId="04BC133E" w:rsidR="004E4E58" w:rsidRPr="002E7FAD" w:rsidRDefault="00353D8B" w:rsidP="00117046">
      <w:pPr>
        <w:spacing w:before="120" w:line="280" w:lineRule="atLeast"/>
        <w:rPr>
          <w:rFonts w:ascii="Arial" w:hAnsi="Arial" w:cs="Arial"/>
          <w:color w:val="000000" w:themeColor="text1"/>
        </w:rPr>
      </w:pPr>
      <w:r>
        <w:rPr>
          <w:rFonts w:ascii="Arial" w:hAnsi="Arial" w:cs="Arial"/>
          <w:color w:val="000000" w:themeColor="text1"/>
        </w:rPr>
        <w:t xml:space="preserve">There is a </w:t>
      </w:r>
      <w:r w:rsidR="004E4E58">
        <w:rPr>
          <w:rFonts w:ascii="Arial" w:hAnsi="Arial" w:cs="Arial"/>
          <w:color w:val="000000" w:themeColor="text1"/>
        </w:rPr>
        <w:t>cross validation between QSR002 Column C of Line 92 “Funds in Syndicate (FIS)” and QSR220 Column B of Line 1 “Members’ contributions (Funds in Syndicate - FIS) whereby both are expected to equal.</w:t>
      </w:r>
    </w:p>
    <w:p w14:paraId="76128630" w14:textId="5122B6AF" w:rsidR="00353D8B" w:rsidRDefault="00353D8B" w:rsidP="00117046">
      <w:pPr>
        <w:spacing w:before="120" w:line="280" w:lineRule="atLeast"/>
        <w:rPr>
          <w:rFonts w:ascii="Arial" w:hAnsi="Arial" w:cs="Arial"/>
          <w:color w:val="000000" w:themeColor="text1"/>
        </w:rPr>
      </w:pPr>
      <w:r>
        <w:rPr>
          <w:rFonts w:ascii="Arial" w:hAnsi="Arial" w:cs="Arial"/>
          <w:color w:val="000000" w:themeColor="text1"/>
        </w:rPr>
        <w:t xml:space="preserve">It is expected that after the adjustments have been made in line 91 and line 92 that the total in line </w:t>
      </w:r>
      <w:r w:rsidR="002A3F51">
        <w:rPr>
          <w:rFonts w:ascii="Arial" w:hAnsi="Arial" w:cs="Arial"/>
          <w:color w:val="000000" w:themeColor="text1"/>
        </w:rPr>
        <w:t>93 will equal line 89.</w:t>
      </w:r>
    </w:p>
    <w:p w14:paraId="43B62513" w14:textId="406176AC" w:rsidR="004A6BA8" w:rsidRPr="002E7FAD" w:rsidRDefault="004A6BA8" w:rsidP="00117046">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DB92983" w14:textId="77777777" w:rsidR="002E7FAD" w:rsidRDefault="002E7FAD" w:rsidP="004A6BA8">
      <w:pPr>
        <w:spacing w:line="280" w:lineRule="atLeast"/>
        <w:rPr>
          <w:rFonts w:ascii="Arial" w:hAnsi="Arial" w:cs="Arial"/>
        </w:rPr>
      </w:pPr>
    </w:p>
    <w:p w14:paraId="037A57BE" w14:textId="71DAE06A" w:rsidR="004A6BA8" w:rsidRPr="002E7FAD" w:rsidRDefault="004A6BA8" w:rsidP="004A6BA8">
      <w:pPr>
        <w:spacing w:line="280" w:lineRule="atLeast"/>
        <w:rPr>
          <w:rFonts w:ascii="Arial" w:hAnsi="Arial" w:cs="Arial"/>
          <w:b/>
        </w:rPr>
      </w:pPr>
      <w:r w:rsidRPr="002E7FAD">
        <w:rPr>
          <w:rFonts w:ascii="Arial" w:hAnsi="Arial" w:cs="Arial"/>
          <w:b/>
        </w:rPr>
        <w:t>The Solvency II balance sheet as at 31 December may include future profit relating to contracts assigned to the following reporting year of account (</w:t>
      </w:r>
      <w:r w:rsidR="00A929F6" w:rsidRPr="002E7FAD">
        <w:rPr>
          <w:rFonts w:ascii="Arial" w:hAnsi="Arial" w:cs="Arial"/>
          <w:b/>
        </w:rPr>
        <w:t>i.e.</w:t>
      </w:r>
      <w:r w:rsidRPr="002E7FAD">
        <w:rPr>
          <w:rFonts w:ascii="Arial" w:hAnsi="Arial" w:cs="Arial"/>
          <w:b/>
        </w:rPr>
        <w:t xml:space="preserve"> </w:t>
      </w:r>
      <w:r w:rsidR="003C7162">
        <w:rPr>
          <w:rFonts w:ascii="Arial" w:hAnsi="Arial" w:cs="Arial"/>
          <w:b/>
        </w:rPr>
        <w:t>20</w:t>
      </w:r>
      <w:r w:rsidR="00310EFB">
        <w:rPr>
          <w:rFonts w:ascii="Arial" w:hAnsi="Arial" w:cs="Arial"/>
          <w:b/>
        </w:rPr>
        <w:t>2</w:t>
      </w:r>
      <w:r w:rsidR="00BE251A">
        <w:rPr>
          <w:rFonts w:ascii="Arial" w:hAnsi="Arial" w:cs="Arial"/>
          <w:b/>
        </w:rPr>
        <w:t>6</w:t>
      </w:r>
      <w:r w:rsidRPr="002E7FAD">
        <w:rPr>
          <w:rFonts w:ascii="Arial" w:hAnsi="Arial" w:cs="Arial"/>
          <w:b/>
        </w:rPr>
        <w:t xml:space="preserve"> for 31 December </w:t>
      </w:r>
      <w:r w:rsidR="00FA0A14">
        <w:rPr>
          <w:rFonts w:ascii="Arial" w:hAnsi="Arial" w:cs="Arial"/>
          <w:b/>
        </w:rPr>
        <w:t>202</w:t>
      </w:r>
      <w:r w:rsidR="00BE251A">
        <w:rPr>
          <w:rFonts w:ascii="Arial" w:hAnsi="Arial" w:cs="Arial"/>
          <w:b/>
        </w:rPr>
        <w:t>5</w:t>
      </w:r>
      <w:r w:rsidRPr="002E7FAD">
        <w:rPr>
          <w:rFonts w:ascii="Arial" w:hAnsi="Arial" w:cs="Arial"/>
          <w:b/>
        </w:rPr>
        <w:t>). Syndicates should report this future profit on column B of the respective reporting year of account.</w:t>
      </w:r>
    </w:p>
    <w:p w14:paraId="0784BCA3" w14:textId="77777777" w:rsidR="003C7162" w:rsidRPr="002E7FAD" w:rsidRDefault="003C7162" w:rsidP="004A6BA8">
      <w:pPr>
        <w:spacing w:line="280" w:lineRule="atLeast"/>
        <w:rPr>
          <w:rFonts w:ascii="Arial" w:hAnsi="Arial" w:cs="Arial"/>
        </w:rPr>
      </w:pPr>
    </w:p>
    <w:p w14:paraId="0A457DED" w14:textId="77777777" w:rsidR="001A7C80" w:rsidRPr="001C16D1" w:rsidRDefault="001A7C80" w:rsidP="001A7C80">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26FCB63B" w14:textId="3F08C37E" w:rsidR="00C055A3" w:rsidRDefault="00B00E38" w:rsidP="00117046">
      <w:pPr>
        <w:spacing w:before="120" w:line="280" w:lineRule="atLeast"/>
        <w:rPr>
          <w:rFonts w:ascii="Arial" w:hAnsi="Arial" w:cs="Arial"/>
        </w:rPr>
      </w:pPr>
      <w:r>
        <w:rPr>
          <w:rFonts w:ascii="Arial" w:hAnsi="Arial" w:cs="Arial"/>
        </w:rPr>
        <w:t>T</w:t>
      </w:r>
      <w:r w:rsidR="00C055A3" w:rsidRPr="00C055A3">
        <w:rPr>
          <w:rFonts w:ascii="Arial" w:hAnsi="Arial" w:cs="Arial"/>
        </w:rPr>
        <w:t xml:space="preserve">his captures the impact on the technical provisions of the change to the treatment of reinsurance contract boundaries set out in Lloyd’s </w:t>
      </w:r>
      <w:r w:rsidR="00DA1167">
        <w:rPr>
          <w:rFonts w:ascii="Arial" w:hAnsi="Arial" w:cs="Arial"/>
        </w:rPr>
        <w:t xml:space="preserve">2024 </w:t>
      </w:r>
      <w:r w:rsidR="00C055A3" w:rsidRPr="00C055A3">
        <w:rPr>
          <w:rFonts w:ascii="Arial" w:hAnsi="Arial" w:cs="Arial"/>
        </w:rPr>
        <w:t>technical provisions guidance</w:t>
      </w:r>
      <w:r>
        <w:rPr>
          <w:rFonts w:ascii="Arial" w:hAnsi="Arial" w:cs="Arial"/>
        </w:rPr>
        <w:t xml:space="preserve"> as described above</w:t>
      </w:r>
      <w:r w:rsidR="00C055A3" w:rsidRPr="00C055A3">
        <w:rPr>
          <w:rFonts w:ascii="Arial" w:hAnsi="Arial" w:cs="Arial"/>
        </w:rPr>
        <w:t>.  This must be provided by reporting year of account and shown as a positive figure (i.e. the value of the increase to the technical provisions resulting from the change).</w:t>
      </w:r>
    </w:p>
    <w:p w14:paraId="47E7B3B3" w14:textId="77777777" w:rsidR="00AD343A" w:rsidRPr="00FB289F" w:rsidRDefault="00AD343A" w:rsidP="00AD343A">
      <w:pPr>
        <w:spacing w:before="120" w:line="280" w:lineRule="atLeast"/>
        <w:rPr>
          <w:rFonts w:ascii="Arial" w:hAnsi="Arial" w:cs="Arial"/>
        </w:rPr>
      </w:pPr>
      <w:r w:rsidRPr="00AD343A">
        <w:rPr>
          <w:rFonts w:ascii="Arial" w:hAnsi="Arial" w:cs="Arial"/>
        </w:rPr>
        <w:t>This impact should be the figure that would be calculated in the relevant YOA row of LCR Form 571 Q</w:t>
      </w:r>
      <w:r w:rsidRPr="00FB289F">
        <w:rPr>
          <w:rFonts w:ascii="Arial" w:hAnsi="Arial" w:cs="Arial"/>
        </w:rPr>
        <w:t>uestion 1 column D if the syndicate was to submit an LCR as follows:</w:t>
      </w:r>
    </w:p>
    <w:p w14:paraId="1EE5B1B2"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Year End Coming-Into-Line for YOA X+1 soon after the Q2 QSR submission for year X, or</w:t>
      </w:r>
    </w:p>
    <w:p w14:paraId="6CDEC111"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Mid-Year Coming-Into-Line for YOA X+1 soon after the Q4 QSR submission for year X</w:t>
      </w:r>
    </w:p>
    <w:p w14:paraId="38A1AD5A" w14:textId="77777777" w:rsidR="009F3B9D" w:rsidRPr="00110B69" w:rsidRDefault="009F3B9D" w:rsidP="00742F25">
      <w:pPr>
        <w:spacing w:line="280" w:lineRule="atLeast"/>
        <w:ind w:left="720"/>
        <w:rPr>
          <w:rFonts w:ascii="Arial" w:hAnsi="Arial" w:cs="Arial"/>
          <w:sz w:val="22"/>
          <w:szCs w:val="22"/>
        </w:rPr>
      </w:pPr>
    </w:p>
    <w:p w14:paraId="6BA89BFE" w14:textId="77777777" w:rsidR="006B3ACE" w:rsidRDefault="006B3ACE" w:rsidP="004C58E7">
      <w:pPr>
        <w:spacing w:line="280" w:lineRule="atLeast"/>
        <w:rPr>
          <w:rFonts w:ascii="Arial" w:hAnsi="Arial" w:cs="Arial"/>
          <w:b/>
          <w:sz w:val="22"/>
          <w:szCs w:val="22"/>
        </w:rPr>
      </w:pPr>
    </w:p>
    <w:p w14:paraId="3E1C54A3" w14:textId="77777777" w:rsidR="006B3ACE" w:rsidRDefault="006B3ACE" w:rsidP="004C58E7">
      <w:pPr>
        <w:spacing w:line="280" w:lineRule="atLeast"/>
        <w:rPr>
          <w:rFonts w:ascii="Arial" w:hAnsi="Arial" w:cs="Arial"/>
          <w:b/>
          <w:sz w:val="22"/>
          <w:szCs w:val="22"/>
        </w:rPr>
      </w:pPr>
    </w:p>
    <w:p w14:paraId="2D84190F" w14:textId="7AC3A19F" w:rsidR="004C58E7" w:rsidRPr="00110B69" w:rsidRDefault="004C58E7" w:rsidP="004C58E7">
      <w:pPr>
        <w:spacing w:line="280" w:lineRule="atLeast"/>
        <w:rPr>
          <w:rFonts w:ascii="Arial" w:hAnsi="Arial" w:cs="Arial"/>
          <w:b/>
          <w:sz w:val="22"/>
          <w:szCs w:val="22"/>
        </w:rPr>
      </w:pPr>
      <w:r w:rsidRPr="00110B69">
        <w:rPr>
          <w:rFonts w:ascii="Arial" w:hAnsi="Arial" w:cs="Arial"/>
          <w:b/>
          <w:sz w:val="22"/>
          <w:szCs w:val="22"/>
        </w:rPr>
        <w:t>3.</w:t>
      </w:r>
      <w:r w:rsidR="00EB4FE8">
        <w:rPr>
          <w:rFonts w:ascii="Arial" w:hAnsi="Arial" w:cs="Arial"/>
          <w:b/>
          <w:sz w:val="22"/>
          <w:szCs w:val="22"/>
        </w:rPr>
        <w:t>5</w:t>
      </w:r>
      <w:r w:rsidRPr="00110B69">
        <w:rPr>
          <w:rFonts w:ascii="Arial" w:hAnsi="Arial" w:cs="Arial"/>
          <w:b/>
          <w:sz w:val="22"/>
          <w:szCs w:val="22"/>
        </w:rPr>
        <w:tab/>
        <w:t>QSR204: Members Providing Capital</w:t>
      </w:r>
      <w:r w:rsidR="00110B69">
        <w:rPr>
          <w:rFonts w:ascii="Arial" w:hAnsi="Arial" w:cs="Arial"/>
          <w:b/>
          <w:sz w:val="22"/>
          <w:szCs w:val="22"/>
        </w:rPr>
        <w:t xml:space="preserve"> (FIS)</w:t>
      </w:r>
    </w:p>
    <w:p w14:paraId="3FC2133D" w14:textId="77777777" w:rsidR="00E90C11" w:rsidRPr="00110B69" w:rsidRDefault="00E90C11" w:rsidP="004C58E7">
      <w:pPr>
        <w:spacing w:line="280" w:lineRule="atLeast"/>
        <w:rPr>
          <w:rFonts w:ascii="Arial" w:hAnsi="Arial" w:cs="Arial"/>
          <w:b/>
        </w:rPr>
      </w:pPr>
    </w:p>
    <w:p w14:paraId="1368ED3F" w14:textId="77777777" w:rsidR="007F3A6D" w:rsidRPr="00110B69" w:rsidRDefault="00410D53" w:rsidP="007F3A6D">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007F3A6D" w:rsidRPr="00110B69">
        <w:rPr>
          <w:rFonts w:ascii="Arial" w:hAnsi="Arial" w:cs="Arial"/>
          <w:i/>
          <w:lang w:eastAsia="en-US"/>
        </w:rPr>
        <w:t xml:space="preserve"> This data is required for the conduct of the Solvency II quarterly members’ solvency test including the calculation of the member level reporting point.</w:t>
      </w:r>
      <w:r w:rsidR="007F3A6D" w:rsidRPr="00110B69">
        <w:rPr>
          <w:rFonts w:ascii="Arial" w:hAnsi="Arial" w:cs="Arial"/>
          <w:i/>
          <w:color w:val="000000"/>
          <w:lang w:eastAsia="en-US"/>
        </w:rPr>
        <w:t xml:space="preserve"> </w:t>
      </w:r>
    </w:p>
    <w:p w14:paraId="3B623472" w14:textId="77777777" w:rsidR="007F3A6D" w:rsidRPr="00110B69" w:rsidRDefault="007F3A6D" w:rsidP="007F3A6D">
      <w:pPr>
        <w:jc w:val="both"/>
        <w:rPr>
          <w:rFonts w:ascii="Arial" w:hAnsi="Arial" w:cs="Arial"/>
          <w:lang w:eastAsia="en-US"/>
        </w:rPr>
      </w:pPr>
    </w:p>
    <w:p w14:paraId="4182D9D9" w14:textId="77777777" w:rsidR="007F3A6D" w:rsidRPr="00110B69" w:rsidRDefault="007F3A6D" w:rsidP="007F3A6D">
      <w:pPr>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53EC2AE7" w14:textId="77777777" w:rsidR="007F3A6D" w:rsidRPr="00110B69" w:rsidRDefault="007F3A6D" w:rsidP="007F3A6D">
      <w:pPr>
        <w:jc w:val="both"/>
        <w:rPr>
          <w:rFonts w:ascii="Arial" w:hAnsi="Arial" w:cs="Arial"/>
          <w:lang w:eastAsia="en-US"/>
        </w:rPr>
      </w:pPr>
    </w:p>
    <w:p w14:paraId="2636CE4A" w14:textId="77777777" w:rsidR="007F3A6D" w:rsidRPr="00110B69" w:rsidRDefault="007F3A6D" w:rsidP="007F3A6D">
      <w:pPr>
        <w:jc w:val="both"/>
        <w:rPr>
          <w:rFonts w:ascii="Arial" w:hAnsi="Arial" w:cs="Arial"/>
          <w:lang w:eastAsia="en-US"/>
        </w:rPr>
      </w:pPr>
      <w:r w:rsidRPr="00110B69">
        <w:rPr>
          <w:rFonts w:ascii="Arial" w:hAnsi="Arial" w:cs="Arial"/>
          <w:lang w:eastAsia="en-US"/>
        </w:rPr>
        <w:t>If the syndicate has one corporate member then the code for that member should be entered in column A and the total of the assets in</w:t>
      </w:r>
      <w:r w:rsidR="00110B69">
        <w:rPr>
          <w:rFonts w:ascii="Arial" w:hAnsi="Arial" w:cs="Arial"/>
          <w:lang w:eastAsia="en-US"/>
        </w:rPr>
        <w:t>cluded within QSR002</w:t>
      </w:r>
      <w:r w:rsidRPr="00110B69">
        <w:rPr>
          <w:rFonts w:ascii="Arial" w:hAnsi="Arial" w:cs="Arial"/>
          <w:lang w:eastAsia="en-US"/>
        </w:rPr>
        <w:t xml:space="preserve"> entered in column C, as a positive.  </w:t>
      </w:r>
    </w:p>
    <w:p w14:paraId="1F94B5B7" w14:textId="77777777" w:rsidR="007F3A6D" w:rsidRPr="00110B69" w:rsidRDefault="007F3A6D" w:rsidP="007F3A6D">
      <w:pPr>
        <w:jc w:val="both"/>
        <w:rPr>
          <w:rFonts w:ascii="Arial" w:hAnsi="Arial" w:cs="Arial"/>
          <w:lang w:eastAsia="en-US"/>
        </w:rPr>
      </w:pPr>
    </w:p>
    <w:p w14:paraId="270BF63D"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sidR="00110B69">
        <w:rPr>
          <w:rFonts w:ascii="Arial" w:hAnsi="Arial" w:cs="Arial"/>
          <w:lang w:eastAsia="en-US"/>
        </w:rPr>
        <w:t>should be</w:t>
      </w:r>
      <w:r w:rsidRPr="00110B69">
        <w:rPr>
          <w:rFonts w:ascii="Arial" w:hAnsi="Arial" w:cs="Arial"/>
          <w:lang w:eastAsia="en-US"/>
        </w:rPr>
        <w:t xml:space="preserve"> entered in column A and </w:t>
      </w:r>
      <w:r w:rsidR="00110B69">
        <w:rPr>
          <w:rFonts w:ascii="Arial" w:hAnsi="Arial" w:cs="Arial"/>
          <w:lang w:eastAsia="en-US"/>
        </w:rPr>
        <w:t>each member’s</w:t>
      </w:r>
      <w:r w:rsidRPr="00110B69">
        <w:rPr>
          <w:rFonts w:ascii="Arial" w:hAnsi="Arial" w:cs="Arial"/>
          <w:lang w:eastAsia="en-US"/>
        </w:rPr>
        <w:t xml:space="preserve"> share of the total </w:t>
      </w:r>
      <w:r w:rsidR="00110B69">
        <w:rPr>
          <w:rFonts w:ascii="Arial" w:hAnsi="Arial" w:cs="Arial"/>
          <w:lang w:eastAsia="en-US"/>
        </w:rPr>
        <w:t>assets included within QSR002</w:t>
      </w:r>
      <w:r w:rsidRPr="00110B69">
        <w:rPr>
          <w:rFonts w:ascii="Arial" w:hAnsi="Arial" w:cs="Arial"/>
          <w:lang w:eastAsia="en-US"/>
        </w:rPr>
        <w:t xml:space="preserve"> entered in column C.</w:t>
      </w:r>
    </w:p>
    <w:p w14:paraId="10F243F3" w14:textId="77777777" w:rsidR="007F3A6D" w:rsidRPr="00110B69" w:rsidRDefault="007F3A6D" w:rsidP="007F3A6D">
      <w:pPr>
        <w:jc w:val="both"/>
        <w:rPr>
          <w:rFonts w:ascii="Arial" w:hAnsi="Arial" w:cs="Arial"/>
          <w:lang w:eastAsia="en-US"/>
        </w:rPr>
      </w:pPr>
    </w:p>
    <w:p w14:paraId="39258730" w14:textId="49A22812" w:rsidR="007F3A6D" w:rsidRDefault="00110B69" w:rsidP="007F3A6D">
      <w:pPr>
        <w:jc w:val="both"/>
        <w:rPr>
          <w:rFonts w:ascii="Arial" w:hAnsi="Arial" w:cs="Arial"/>
          <w:lang w:eastAsia="en-US"/>
        </w:rPr>
      </w:pPr>
      <w:r>
        <w:rPr>
          <w:rFonts w:ascii="Arial" w:hAnsi="Arial" w:cs="Arial"/>
          <w:lang w:eastAsia="en-US"/>
        </w:rPr>
        <w:t xml:space="preserve">The total of QSR204 column C must equal QSR002 </w:t>
      </w:r>
      <w:r w:rsidR="009A1711">
        <w:rPr>
          <w:rFonts w:ascii="Arial" w:hAnsi="Arial" w:cs="Arial"/>
          <w:lang w:eastAsia="en-US"/>
        </w:rPr>
        <w:t xml:space="preserve">Column C, </w:t>
      </w:r>
      <w:r>
        <w:rPr>
          <w:rFonts w:ascii="Arial" w:hAnsi="Arial" w:cs="Arial"/>
          <w:lang w:eastAsia="en-US"/>
        </w:rPr>
        <w:t>line 92</w:t>
      </w:r>
      <w:r w:rsidR="007F3A6D" w:rsidRPr="00110B69">
        <w:rPr>
          <w:rFonts w:ascii="Arial" w:hAnsi="Arial" w:cs="Arial"/>
          <w:lang w:eastAsia="en-US"/>
        </w:rPr>
        <w:t>.</w:t>
      </w:r>
      <w:r w:rsidR="000C79D6">
        <w:rPr>
          <w:rFonts w:ascii="Arial" w:hAnsi="Arial" w:cs="Arial"/>
          <w:lang w:eastAsia="en-US"/>
        </w:rPr>
        <w:t xml:space="preserve"> </w:t>
      </w:r>
    </w:p>
    <w:p w14:paraId="6FC001F8" w14:textId="77777777" w:rsidR="00EC083D" w:rsidRDefault="00EC083D" w:rsidP="007F3A6D">
      <w:pPr>
        <w:jc w:val="both"/>
        <w:rPr>
          <w:rFonts w:ascii="Arial" w:hAnsi="Arial" w:cs="Arial"/>
          <w:lang w:eastAsia="en-US"/>
        </w:rPr>
      </w:pPr>
    </w:p>
    <w:p w14:paraId="34187683" w14:textId="77777777" w:rsidR="00277EB1" w:rsidRPr="00AD7B00" w:rsidRDefault="00277EB1" w:rsidP="00AD7B00">
      <w:pPr>
        <w:pStyle w:val="LloydsH3"/>
        <w:numPr>
          <w:ilvl w:val="0"/>
          <w:numId w:val="0"/>
        </w:numPr>
        <w:spacing w:after="120" w:line="280" w:lineRule="atLeast"/>
        <w:rPr>
          <w:b w:val="0"/>
        </w:rPr>
      </w:pPr>
      <w:r w:rsidRPr="00AD7B00">
        <w:t>3.6</w:t>
      </w:r>
      <w:r w:rsidRPr="00AD7B00">
        <w:tab/>
        <w:t>QSR210: Solvency II Balance Sheet Reconciliation</w:t>
      </w:r>
    </w:p>
    <w:p w14:paraId="29875D54" w14:textId="77777777" w:rsidR="00277EB1" w:rsidRPr="00247C18" w:rsidRDefault="00277EB1" w:rsidP="00277EB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p>
    <w:p w14:paraId="49141BE8" w14:textId="77777777" w:rsidR="00277EB1" w:rsidRDefault="00277EB1" w:rsidP="00277EB1">
      <w:pPr>
        <w:jc w:val="both"/>
        <w:rPr>
          <w:rFonts w:ascii="Arial" w:hAnsi="Arial" w:cs="Arial"/>
          <w:b/>
          <w:sz w:val="22"/>
          <w:szCs w:val="22"/>
        </w:rPr>
      </w:pPr>
      <w:r>
        <w:rPr>
          <w:rFonts w:ascii="Arial" w:hAnsi="Arial" w:cs="Arial"/>
          <w:b/>
          <w:sz w:val="22"/>
          <w:szCs w:val="22"/>
        </w:rPr>
        <w:t xml:space="preserve"> </w:t>
      </w:r>
    </w:p>
    <w:p w14:paraId="237F7C8F" w14:textId="77777777" w:rsidR="00277EB1" w:rsidRPr="00B52191" w:rsidRDefault="00277EB1" w:rsidP="00277EB1">
      <w:pPr>
        <w:jc w:val="both"/>
        <w:rPr>
          <w:rFonts w:ascii="Arial" w:hAnsi="Arial" w:cs="Arial"/>
          <w:b/>
        </w:rPr>
      </w:pPr>
      <w:r w:rsidRPr="00B52191">
        <w:rPr>
          <w:rFonts w:ascii="Arial" w:hAnsi="Arial" w:cs="Arial"/>
          <w:b/>
        </w:rPr>
        <w:t>Basis of completion</w:t>
      </w:r>
    </w:p>
    <w:p w14:paraId="6CDA354A" w14:textId="77777777" w:rsidR="00277EB1" w:rsidRPr="00B52191" w:rsidRDefault="00277EB1" w:rsidP="00277EB1">
      <w:pPr>
        <w:spacing w:before="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0A3B52B2" w14:textId="77777777" w:rsidR="00277EB1" w:rsidRPr="00B52191" w:rsidRDefault="00277EB1" w:rsidP="00277EB1">
      <w:pPr>
        <w:spacing w:before="120" w:line="280" w:lineRule="atLeast"/>
        <w:ind w:left="720" w:hanging="720"/>
        <w:rPr>
          <w:rFonts w:ascii="Arial" w:hAnsi="Arial" w:cs="Arial"/>
          <w:u w:val="single"/>
        </w:rPr>
      </w:pPr>
      <w:r w:rsidRPr="00B52191">
        <w:rPr>
          <w:rFonts w:ascii="Arial" w:hAnsi="Arial" w:cs="Arial"/>
          <w:u w:val="single"/>
        </w:rPr>
        <w:t>Solvency II valuation differences in respect of a year which is closing</w:t>
      </w:r>
    </w:p>
    <w:p w14:paraId="20E01F0D" w14:textId="77777777" w:rsidR="00277EB1" w:rsidRPr="00B52191" w:rsidRDefault="00277EB1" w:rsidP="00277EB1">
      <w:pPr>
        <w:spacing w:before="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1140BE4" w14:textId="77777777" w:rsidR="00277EB1" w:rsidRPr="00B52191" w:rsidRDefault="00277EB1" w:rsidP="00277EB1">
      <w:pPr>
        <w:spacing w:before="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0918FF53" w14:textId="77777777" w:rsidR="00277EB1" w:rsidRPr="00B52191" w:rsidRDefault="00277EB1" w:rsidP="00277EB1">
      <w:pPr>
        <w:spacing w:before="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1F07D04C"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Reinsurance to close into a different syndicate</w:t>
      </w:r>
    </w:p>
    <w:p w14:paraId="09CEAF7B" w14:textId="58ABA60A" w:rsidR="00277EB1" w:rsidRPr="00B52191" w:rsidRDefault="00277EB1" w:rsidP="00277EB1">
      <w:pPr>
        <w:spacing w:before="120" w:line="280" w:lineRule="atLeast"/>
        <w:rPr>
          <w:rFonts w:ascii="Arial" w:hAnsi="Arial" w:cs="Arial"/>
          <w:b/>
        </w:rPr>
      </w:pPr>
      <w:r w:rsidRPr="00B52191">
        <w:rPr>
          <w:rFonts w:ascii="Arial" w:hAnsi="Arial" w:cs="Arial"/>
          <w:b/>
        </w:rPr>
        <w:t xml:space="preserve">Example, Syndicate A’s </w:t>
      </w:r>
      <w:r w:rsidR="001110AF">
        <w:rPr>
          <w:rFonts w:ascii="Arial" w:hAnsi="Arial" w:cs="Arial"/>
          <w:b/>
        </w:rPr>
        <w:t>20</w:t>
      </w:r>
      <w:r w:rsidR="00C33E81">
        <w:rPr>
          <w:rFonts w:ascii="Arial" w:hAnsi="Arial" w:cs="Arial"/>
          <w:b/>
        </w:rPr>
        <w:t>2</w:t>
      </w:r>
      <w:r w:rsidR="001E28B7">
        <w:rPr>
          <w:rFonts w:ascii="Arial" w:hAnsi="Arial" w:cs="Arial"/>
          <w:b/>
        </w:rPr>
        <w:t>5</w:t>
      </w:r>
      <w:r w:rsidR="00C33E81">
        <w:rPr>
          <w:rFonts w:ascii="Arial" w:hAnsi="Arial" w:cs="Arial"/>
          <w:b/>
        </w:rPr>
        <w:t xml:space="preserve"> </w:t>
      </w:r>
      <w:r w:rsidRPr="00B52191">
        <w:rPr>
          <w:rFonts w:ascii="Arial" w:hAnsi="Arial" w:cs="Arial"/>
          <w:b/>
        </w:rPr>
        <w:t xml:space="preserve">reporting year of account closing into Syndicate B’s </w:t>
      </w:r>
      <w:r w:rsidR="001110AF">
        <w:rPr>
          <w:rFonts w:ascii="Arial" w:hAnsi="Arial" w:cs="Arial"/>
          <w:b/>
        </w:rPr>
        <w:t>20</w:t>
      </w:r>
      <w:r w:rsidR="00062BF4">
        <w:rPr>
          <w:rFonts w:ascii="Arial" w:hAnsi="Arial" w:cs="Arial"/>
          <w:b/>
        </w:rPr>
        <w:t>2</w:t>
      </w:r>
      <w:r w:rsidR="001E28B7">
        <w:rPr>
          <w:rFonts w:ascii="Arial" w:hAnsi="Arial" w:cs="Arial"/>
          <w:b/>
        </w:rPr>
        <w:t>6</w:t>
      </w:r>
      <w:r w:rsidR="001110AF" w:rsidRPr="00B52191">
        <w:rPr>
          <w:rFonts w:ascii="Arial" w:hAnsi="Arial" w:cs="Arial"/>
          <w:b/>
        </w:rPr>
        <w:t xml:space="preserve"> </w:t>
      </w:r>
      <w:r w:rsidRPr="00B52191">
        <w:rPr>
          <w:rFonts w:ascii="Arial" w:hAnsi="Arial" w:cs="Arial"/>
          <w:b/>
        </w:rPr>
        <w:t>reporting year of account</w:t>
      </w:r>
    </w:p>
    <w:p w14:paraId="592EBA2E"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A – Ceding syndicate</w:t>
      </w:r>
    </w:p>
    <w:p w14:paraId="70A94EE6" w14:textId="4C0DA4C6"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C33E81">
        <w:rPr>
          <w:rFonts w:ascii="Arial" w:hAnsi="Arial" w:cs="Arial"/>
          <w:sz w:val="20"/>
          <w:lang w:val="en-GB"/>
        </w:rPr>
        <w:t xml:space="preserve"> </w:t>
      </w:r>
      <w:r w:rsidRPr="00B52191">
        <w:rPr>
          <w:rFonts w:ascii="Arial" w:hAnsi="Arial" w:cs="Arial"/>
          <w:sz w:val="20"/>
          <w:lang w:val="en-GB"/>
        </w:rPr>
        <w:t xml:space="preserve">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2A44C5BE" w14:textId="42772349"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rPr>
      </w:pPr>
      <w:r w:rsidRPr="00B52191">
        <w:rPr>
          <w:rFonts w:ascii="Arial" w:hAnsi="Arial" w:cs="Arial"/>
          <w:sz w:val="20"/>
          <w:lang w:val="en-GB"/>
        </w:rPr>
        <w:t xml:space="preserve">On QSR210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proofErr w:type="spellStart"/>
      <w:r w:rsidRPr="00B52191">
        <w:rPr>
          <w:rFonts w:ascii="Arial" w:hAnsi="Arial" w:cs="Arial"/>
          <w:sz w:val="20"/>
        </w:rPr>
        <w:t>Thus</w:t>
      </w:r>
      <w:proofErr w:type="spellEnd"/>
      <w:r w:rsidRPr="00B52191">
        <w:rPr>
          <w:rFonts w:ascii="Arial" w:hAnsi="Arial" w:cs="Arial"/>
          <w:sz w:val="20"/>
        </w:rPr>
        <w:t xml:space="preserve"> line 1</w:t>
      </w:r>
      <w:r>
        <w:rPr>
          <w:rFonts w:ascii="Arial" w:hAnsi="Arial" w:cs="Arial"/>
          <w:sz w:val="20"/>
        </w:rPr>
        <w:t>7</w:t>
      </w:r>
      <w:r w:rsidRPr="00B52191">
        <w:rPr>
          <w:rFonts w:ascii="Arial" w:hAnsi="Arial" w:cs="Arial"/>
          <w:sz w:val="20"/>
        </w:rPr>
        <w:t xml:space="preserve"> for the </w:t>
      </w:r>
      <w:r w:rsidRPr="008926C9">
        <w:rPr>
          <w:rFonts w:ascii="Arial" w:hAnsi="Arial" w:cs="Arial"/>
          <w:sz w:val="20"/>
          <w:lang w:val="en-GB"/>
        </w:rPr>
        <w:t>reinsured</w:t>
      </w:r>
      <w:r w:rsidRPr="00B52191">
        <w:rPr>
          <w:rFonts w:ascii="Arial" w:hAnsi="Arial" w:cs="Arial"/>
          <w:sz w:val="20"/>
        </w:rPr>
        <w:t xml:space="preserve"> </w:t>
      </w:r>
      <w:proofErr w:type="spellStart"/>
      <w:r w:rsidRPr="00B52191">
        <w:rPr>
          <w:rFonts w:ascii="Arial" w:hAnsi="Arial" w:cs="Arial"/>
          <w:sz w:val="20"/>
        </w:rPr>
        <w:t>year</w:t>
      </w:r>
      <w:proofErr w:type="spellEnd"/>
      <w:r w:rsidRPr="00B52191">
        <w:rPr>
          <w:rFonts w:ascii="Arial" w:hAnsi="Arial" w:cs="Arial"/>
          <w:sz w:val="20"/>
        </w:rPr>
        <w:t xml:space="preserve"> </w:t>
      </w:r>
      <w:proofErr w:type="spellStart"/>
      <w:r w:rsidRPr="00B52191">
        <w:rPr>
          <w:rFonts w:ascii="Arial" w:hAnsi="Arial" w:cs="Arial"/>
          <w:sz w:val="20"/>
        </w:rPr>
        <w:t>will</w:t>
      </w:r>
      <w:proofErr w:type="spellEnd"/>
      <w:r w:rsidRPr="00B52191">
        <w:rPr>
          <w:rFonts w:ascii="Arial" w:hAnsi="Arial" w:cs="Arial"/>
          <w:sz w:val="20"/>
        </w:rPr>
        <w:t xml:space="preserve"> </w:t>
      </w:r>
      <w:proofErr w:type="spellStart"/>
      <w:r w:rsidRPr="00B52191">
        <w:rPr>
          <w:rFonts w:ascii="Arial" w:hAnsi="Arial" w:cs="Arial"/>
          <w:sz w:val="20"/>
        </w:rPr>
        <w:t>be</w:t>
      </w:r>
      <w:proofErr w:type="spellEnd"/>
      <w:r w:rsidRPr="00B52191">
        <w:rPr>
          <w:rFonts w:ascii="Arial" w:hAnsi="Arial" w:cs="Arial"/>
          <w:sz w:val="20"/>
        </w:rPr>
        <w:t xml:space="preserve"> </w:t>
      </w:r>
      <w:proofErr w:type="spellStart"/>
      <w:r w:rsidRPr="00B52191">
        <w:rPr>
          <w:rFonts w:ascii="Arial" w:hAnsi="Arial" w:cs="Arial"/>
          <w:sz w:val="20"/>
        </w:rPr>
        <w:t>zero</w:t>
      </w:r>
      <w:proofErr w:type="spellEnd"/>
      <w:r w:rsidRPr="00B52191">
        <w:rPr>
          <w:rFonts w:ascii="Arial" w:hAnsi="Arial" w:cs="Arial"/>
          <w:sz w:val="20"/>
        </w:rPr>
        <w:t>.</w:t>
      </w:r>
    </w:p>
    <w:p w14:paraId="2B62CAFD"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ab/>
      </w:r>
    </w:p>
    <w:p w14:paraId="081211E6"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B – Reinsuring syndicate</w:t>
      </w:r>
    </w:p>
    <w:p w14:paraId="38454AB2" w14:textId="6F917BD0"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lastRenderedPageBreak/>
        <w:t xml:space="preserve">On QSR002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 xml:space="preserve">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554F5399" w14:textId="4ADD6E33" w:rsidR="00277EB1" w:rsidRPr="00CE5536" w:rsidRDefault="00277EB1" w:rsidP="006C5EE3">
      <w:pPr>
        <w:pStyle w:val="ListParagraph"/>
        <w:numPr>
          <w:ilvl w:val="0"/>
          <w:numId w:val="48"/>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QSR210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sidR="001110AF">
        <w:rPr>
          <w:rFonts w:ascii="Arial" w:hAnsi="Arial" w:cs="Arial"/>
          <w:sz w:val="20"/>
          <w:lang w:val="en-GB"/>
        </w:rPr>
        <w:t>20</w:t>
      </w:r>
      <w:r w:rsidR="00062BF4">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should not include Solvency II adjustments resulting from the RITC. However, any notional profit commission arising as a result of the RITC should be reported within line 1</w:t>
      </w:r>
      <w:r>
        <w:rPr>
          <w:rFonts w:ascii="Arial" w:hAnsi="Arial" w:cs="Arial"/>
          <w:sz w:val="20"/>
          <w:lang w:val="en-GB"/>
        </w:rPr>
        <w:t>4</w:t>
      </w:r>
      <w:r w:rsidRPr="00B52191">
        <w:rPr>
          <w:rFonts w:ascii="Arial" w:hAnsi="Arial" w:cs="Arial"/>
          <w:sz w:val="20"/>
          <w:lang w:val="en-GB"/>
        </w:rPr>
        <w:t>.</w:t>
      </w:r>
    </w:p>
    <w:p w14:paraId="5F46F29E" w14:textId="77777777" w:rsidR="00277EB1" w:rsidRPr="00B26FDE" w:rsidRDefault="00277EB1" w:rsidP="00277EB1">
      <w:pPr>
        <w:spacing w:before="120" w:after="120" w:line="280" w:lineRule="atLeast"/>
        <w:rPr>
          <w:rFonts w:ascii="Arial" w:hAnsi="Arial" w:cs="Arial"/>
          <w:b/>
        </w:rPr>
      </w:pPr>
      <w:r w:rsidRPr="00B26FDE">
        <w:rPr>
          <w:rFonts w:ascii="Arial" w:hAnsi="Arial" w:cs="Arial"/>
          <w:b/>
        </w:rPr>
        <w:t>UK GAAP members’ balance (line 1)</w:t>
      </w:r>
    </w:p>
    <w:p w14:paraId="3FD66FAA" w14:textId="49D7376F" w:rsidR="00277EB1" w:rsidRDefault="00277EB1" w:rsidP="00277EB1">
      <w:pPr>
        <w:spacing w:before="120" w:line="280" w:lineRule="atLeast"/>
        <w:rPr>
          <w:rFonts w:ascii="Arial" w:hAnsi="Arial" w:cs="Arial"/>
        </w:rPr>
      </w:pPr>
      <w:r w:rsidRPr="00B52191">
        <w:rPr>
          <w:rFonts w:ascii="Arial" w:hAnsi="Arial" w:cs="Arial"/>
        </w:rPr>
        <w:t xml:space="preserve">This must agree to QSR002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2086A58D"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100% UPR requirement (line 2)</w:t>
      </w:r>
    </w:p>
    <w:p w14:paraId="6889CF10" w14:textId="7AE3F31D" w:rsidR="00277EB1" w:rsidRPr="00B52191" w:rsidRDefault="00277EB1" w:rsidP="00277EB1">
      <w:pPr>
        <w:spacing w:before="120" w:line="280" w:lineRule="atLeast"/>
        <w:rPr>
          <w:rFonts w:ascii="Arial" w:hAnsi="Arial" w:cs="Arial"/>
          <w:b/>
        </w:rPr>
      </w:pPr>
      <w:r w:rsidRPr="00B52191">
        <w:rPr>
          <w:rFonts w:ascii="Arial" w:hAnsi="Arial" w:cs="Arial"/>
        </w:rPr>
        <w:t>The UPR provision (net of reinsurers’ share) is a UK GAAP item and is not relevant for Solvency II. Thus</w:t>
      </w:r>
      <w:r w:rsidR="00973A99">
        <w:rPr>
          <w:rFonts w:ascii="Arial" w:hAnsi="Arial" w:cs="Arial"/>
        </w:rPr>
        <w:t>,</w:t>
      </w:r>
      <w:r w:rsidRPr="00B52191">
        <w:rPr>
          <w:rFonts w:ascii="Arial" w:hAnsi="Arial" w:cs="Arial"/>
        </w:rPr>
        <w:t xml:space="preserve">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w:t>
      </w:r>
      <w:r w:rsidR="002A3F51">
        <w:rPr>
          <w:rFonts w:ascii="Arial" w:hAnsi="Arial" w:cs="Arial"/>
        </w:rPr>
        <w:t xml:space="preserve">included in </w:t>
      </w:r>
      <w:r w:rsidR="00AE4B1F">
        <w:rPr>
          <w:rFonts w:ascii="Arial" w:hAnsi="Arial" w:cs="Arial"/>
        </w:rPr>
        <w:t>UK GAAP</w:t>
      </w:r>
      <w:r w:rsidR="002A3F51">
        <w:rPr>
          <w:rFonts w:ascii="Arial" w:hAnsi="Arial" w:cs="Arial"/>
        </w:rPr>
        <w:t xml:space="preserve"> reporting</w:t>
      </w:r>
      <w:r w:rsidR="00973A99">
        <w:rPr>
          <w:rFonts w:ascii="Arial" w:hAnsi="Arial" w:cs="Arial"/>
        </w:rPr>
        <w:t xml:space="preserve">, </w:t>
      </w:r>
      <w:r w:rsidR="00555D66">
        <w:rPr>
          <w:rFonts w:ascii="Arial" w:hAnsi="Arial" w:cs="Arial"/>
        </w:rPr>
        <w:t xml:space="preserve">as expected to be reported </w:t>
      </w:r>
      <w:r w:rsidR="00973A99">
        <w:rPr>
          <w:rFonts w:ascii="Arial" w:hAnsi="Arial" w:cs="Arial"/>
        </w:rPr>
        <w:t>in the Illustrative Accounts,</w:t>
      </w:r>
      <w:r w:rsidR="002A3F51">
        <w:rPr>
          <w:rFonts w:ascii="Arial" w:hAnsi="Arial" w:cs="Arial"/>
        </w:rPr>
        <w:t xml:space="preserve"> of Provision for</w:t>
      </w:r>
      <w:r w:rsidRPr="00B52191">
        <w:rPr>
          <w:rFonts w:ascii="Arial" w:hAnsi="Arial" w:cs="Arial"/>
        </w:rPr>
        <w:t xml:space="preserve"> unearned premiums</w:t>
      </w:r>
      <w:r w:rsidR="002A3F51">
        <w:rPr>
          <w:rFonts w:ascii="Arial" w:hAnsi="Arial" w:cs="Arial"/>
        </w:rPr>
        <w:t xml:space="preserve"> (under Reinsurers’ share of Technical Provisions) </w:t>
      </w:r>
      <w:r w:rsidRPr="00B52191">
        <w:rPr>
          <w:rFonts w:ascii="Arial" w:hAnsi="Arial" w:cs="Arial"/>
        </w:rPr>
        <w:t>and Provision for unearned premiums</w:t>
      </w:r>
      <w:r w:rsidR="002A3F51">
        <w:rPr>
          <w:rFonts w:ascii="Arial" w:hAnsi="Arial" w:cs="Arial"/>
        </w:rPr>
        <w:t xml:space="preserve"> (under Technical Provisions)</w:t>
      </w:r>
      <w:r w:rsidRPr="00B52191">
        <w:rPr>
          <w:rFonts w:ascii="Arial" w:hAnsi="Arial" w:cs="Arial"/>
        </w:rPr>
        <w:t>.</w:t>
      </w:r>
    </w:p>
    <w:p w14:paraId="09D9858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78E4A1BF" w14:textId="20F16B23" w:rsidR="00277EB1" w:rsidRPr="00B52191" w:rsidRDefault="00277EB1" w:rsidP="00277EB1">
      <w:pPr>
        <w:spacing w:before="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w:t>
      </w:r>
      <w:r w:rsidR="00973A99">
        <w:rPr>
          <w:rFonts w:ascii="Arial" w:hAnsi="Arial" w:cs="Arial"/>
        </w:rPr>
        <w:t xml:space="preserve">Under </w:t>
      </w:r>
      <w:r w:rsidR="00AE4B1F">
        <w:rPr>
          <w:rFonts w:ascii="Arial" w:hAnsi="Arial" w:cs="Arial"/>
        </w:rPr>
        <w:t>UK GAAP</w:t>
      </w:r>
      <w:r w:rsidR="00973A99">
        <w:rPr>
          <w:rFonts w:ascii="Arial" w:hAnsi="Arial" w:cs="Arial"/>
        </w:rPr>
        <w:t xml:space="preserve"> reporting, reflected in the Illustrative Accounts, the D</w:t>
      </w:r>
      <w:r w:rsidR="00881086">
        <w:rPr>
          <w:rFonts w:ascii="Arial" w:hAnsi="Arial" w:cs="Arial"/>
        </w:rPr>
        <w:t xml:space="preserve">eferred acquisition costs (under Accruals and Deferred Income) should be </w:t>
      </w:r>
      <w:r w:rsidR="00973A99">
        <w:rPr>
          <w:rFonts w:ascii="Arial" w:hAnsi="Arial" w:cs="Arial"/>
        </w:rPr>
        <w:t>reflected on QSR002</w:t>
      </w:r>
      <w:r w:rsidR="00881086">
        <w:rPr>
          <w:rFonts w:ascii="Arial" w:hAnsi="Arial" w:cs="Arial"/>
        </w:rPr>
        <w:t xml:space="preserve"> column A</w:t>
      </w:r>
      <w:r w:rsidR="00973A99">
        <w:rPr>
          <w:rFonts w:ascii="Arial" w:hAnsi="Arial" w:cs="Arial"/>
        </w:rPr>
        <w:t xml:space="preserve"> </w:t>
      </w:r>
      <w:r w:rsidR="00881086">
        <w:rPr>
          <w:rFonts w:ascii="Arial" w:hAnsi="Arial" w:cs="Arial"/>
        </w:rPr>
        <w:t>l</w:t>
      </w:r>
      <w:r w:rsidR="00973A99">
        <w:rPr>
          <w:rFonts w:ascii="Arial" w:hAnsi="Arial" w:cs="Arial"/>
        </w:rPr>
        <w:t xml:space="preserve">ine 2 </w:t>
      </w:r>
      <w:r w:rsidR="00881086">
        <w:rPr>
          <w:rFonts w:ascii="Arial" w:hAnsi="Arial" w:cs="Arial"/>
        </w:rPr>
        <w:t>and the Reinsurers share of deferred acquisition costs (under Creditors) should be reflected on QSR002 column A line 87</w:t>
      </w:r>
      <w:r w:rsidRPr="00B52191">
        <w:rPr>
          <w:rFonts w:ascii="Arial" w:hAnsi="Arial" w:cs="Arial"/>
        </w:rPr>
        <w:t xml:space="preserve"> with the net of these being entered on QSR210 Line 3.</w:t>
      </w:r>
    </w:p>
    <w:p w14:paraId="761E1970"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30C1228D" w14:textId="04C0F8A5" w:rsidR="00835094" w:rsidRPr="008B07CB" w:rsidRDefault="00835094" w:rsidP="00835094">
      <w:pPr>
        <w:spacing w:before="120" w:line="280" w:lineRule="atLeast"/>
        <w:rPr>
          <w:rFonts w:ascii="Arial" w:hAnsi="Arial" w:cs="Arial"/>
        </w:rPr>
      </w:pPr>
      <w:r w:rsidRPr="008B07CB">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positive adjustment and will improve the net result. </w:t>
      </w:r>
      <w:r w:rsidRPr="00374614">
        <w:rPr>
          <w:rFonts w:ascii="Arial" w:hAnsi="Arial" w:cs="Arial"/>
        </w:rPr>
        <w:t xml:space="preserve">In the annual </w:t>
      </w:r>
      <w:r w:rsidR="006C562F">
        <w:rPr>
          <w:rFonts w:ascii="Arial" w:hAnsi="Arial" w:cs="Arial"/>
        </w:rPr>
        <w:t xml:space="preserve">(ASR) </w:t>
      </w:r>
      <w:r w:rsidRPr="00374614">
        <w:rPr>
          <w:rFonts w:ascii="Arial" w:hAnsi="Arial" w:cs="Arial"/>
        </w:rPr>
        <w:t>submissions, t</w:t>
      </w:r>
      <w:r w:rsidRPr="008B07CB">
        <w:rPr>
          <w:rFonts w:ascii="Arial" w:hAnsi="Arial" w:cs="Arial"/>
        </w:rPr>
        <w:t>he amount of the adjustment to remove prudence will be restricted to that identified by the signing actuary in the SAO template and report (or separate formal letter).</w:t>
      </w:r>
    </w:p>
    <w:p w14:paraId="7C5751B0" w14:textId="3E08A7DE" w:rsidR="00835094" w:rsidRPr="00C676C2" w:rsidRDefault="00835094" w:rsidP="00835094">
      <w:pPr>
        <w:spacing w:before="120" w:line="280" w:lineRule="atLeast"/>
        <w:rPr>
          <w:rFonts w:ascii="Arial" w:hAnsi="Arial" w:cs="Arial"/>
        </w:rPr>
      </w:pPr>
      <w:bookmarkStart w:id="1910" w:name="_Hlk122338854"/>
      <w:r w:rsidRPr="00C676C2">
        <w:rPr>
          <w:rFonts w:ascii="Arial" w:hAnsi="Arial" w:cs="Arial"/>
        </w:rPr>
        <w:t xml:space="preserve">Compliance with this requirement will be reviewed by Lloyd’s. However rather than any non-compliance result in a capital loading, Lloyd’s will require resubmission of the </w:t>
      </w:r>
      <w:r w:rsidR="00D61DF4" w:rsidRPr="006E2906">
        <w:rPr>
          <w:rFonts w:ascii="Arial" w:hAnsi="Arial" w:cs="Arial"/>
        </w:rPr>
        <w:t>A</w:t>
      </w:r>
      <w:r w:rsidRPr="00C676C2">
        <w:rPr>
          <w:rFonts w:ascii="Arial" w:hAnsi="Arial" w:cs="Arial"/>
        </w:rPr>
        <w:t xml:space="preserve">SR form and will require that the tests are met, either via Line 4 or as an adjustment to </w:t>
      </w:r>
      <w:r w:rsidR="00D61DF4" w:rsidRPr="006E2906">
        <w:rPr>
          <w:rFonts w:ascii="Arial" w:hAnsi="Arial" w:cs="Arial"/>
        </w:rPr>
        <w:t>A</w:t>
      </w:r>
      <w:r w:rsidRPr="00C676C2">
        <w:rPr>
          <w:rFonts w:ascii="Arial" w:hAnsi="Arial" w:cs="Arial"/>
        </w:rPr>
        <w:t>SR210 Line 16.</w:t>
      </w:r>
    </w:p>
    <w:p w14:paraId="3CE5BE4E" w14:textId="2514C4C2" w:rsidR="00835094" w:rsidRPr="00B52191" w:rsidRDefault="00835094" w:rsidP="00835094">
      <w:pPr>
        <w:spacing w:before="120" w:line="280" w:lineRule="atLeast"/>
        <w:rPr>
          <w:rFonts w:ascii="Arial" w:hAnsi="Arial" w:cs="Arial"/>
        </w:rPr>
      </w:pPr>
      <w:r>
        <w:rPr>
          <w:rFonts w:ascii="Arial" w:hAnsi="Arial" w:cs="Arial"/>
        </w:rPr>
        <w:t>Lloyd’s expects that each syndicate has appropriate processes and governance frameworks in place such that the adjustment to remove prudence is appropriate for the Q1, Q2</w:t>
      </w:r>
      <w:r w:rsidR="002D5FA6">
        <w:rPr>
          <w:rFonts w:ascii="Arial" w:hAnsi="Arial" w:cs="Arial"/>
        </w:rPr>
        <w:t>,</w:t>
      </w:r>
      <w:r>
        <w:rPr>
          <w:rFonts w:ascii="Arial" w:hAnsi="Arial" w:cs="Arial"/>
        </w:rPr>
        <w:t xml:space="preserve"> Q3</w:t>
      </w:r>
      <w:r w:rsidR="002D5FA6">
        <w:rPr>
          <w:rFonts w:ascii="Arial" w:hAnsi="Arial" w:cs="Arial"/>
        </w:rPr>
        <w:t xml:space="preserve"> and Q4 (QSR)</w:t>
      </w:r>
      <w:r>
        <w:rPr>
          <w:rFonts w:ascii="Arial" w:hAnsi="Arial" w:cs="Arial"/>
        </w:rPr>
        <w:t xml:space="preserve"> technical provisions. Lloyd’s may seek further details from syndicates on validations performed on this area.</w:t>
      </w:r>
    </w:p>
    <w:bookmarkEnd w:id="1910"/>
    <w:p w14:paraId="7EB2FAF7"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3352E3DF" w14:textId="77777777" w:rsidR="00277EB1" w:rsidRPr="00B52191" w:rsidRDefault="00277EB1" w:rsidP="00277EB1">
      <w:pPr>
        <w:spacing w:before="120" w:line="280" w:lineRule="atLeast"/>
        <w:rPr>
          <w:rFonts w:ascii="Arial" w:hAnsi="Arial" w:cs="Arial"/>
        </w:rPr>
      </w:pPr>
      <w:r w:rsidRPr="00B52191">
        <w:rPr>
          <w:rFonts w:ascii="Arial" w:hAnsi="Arial" w:cs="Arial"/>
        </w:rPr>
        <w:lastRenderedPageBreak/>
        <w:t xml:space="preserve">This represents the cash flows on “existing” contracts at the balance date which are recognised once the syndicate becomes party to the contract (subject to contract boundaries) and which are yet to be received. 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0DFCAB85" w14:textId="77777777" w:rsidR="006333FE" w:rsidRDefault="00277EB1" w:rsidP="006333FE">
      <w:pPr>
        <w:pStyle w:val="Heading3"/>
        <w:keepNext w:val="0"/>
        <w:widowControl/>
        <w:numPr>
          <w:ilvl w:val="0"/>
          <w:numId w:val="0"/>
        </w:numPr>
        <w:tabs>
          <w:tab w:val="right" w:pos="5897"/>
        </w:tabs>
        <w:spacing w:before="120" w:after="120"/>
        <w:ind w:left="720" w:hanging="720"/>
        <w:jc w:val="both"/>
        <w:rPr>
          <w:rFonts w:cs="Arial"/>
          <w:spacing w:val="-2"/>
          <w:kern w:val="28"/>
          <w:sz w:val="20"/>
        </w:rPr>
      </w:pPr>
      <w:r w:rsidRPr="00B52191">
        <w:rPr>
          <w:rFonts w:cs="Arial"/>
          <w:spacing w:val="-2"/>
          <w:kern w:val="28"/>
          <w:sz w:val="20"/>
        </w:rPr>
        <w:t xml:space="preserve">Future premiums included in technical provisions – </w:t>
      </w:r>
      <w:proofErr w:type="spellStart"/>
      <w:r w:rsidRPr="00B52191">
        <w:rPr>
          <w:rFonts w:cs="Arial"/>
          <w:spacing w:val="-2"/>
          <w:kern w:val="28"/>
          <w:sz w:val="20"/>
        </w:rPr>
        <w:t>unincepted</w:t>
      </w:r>
      <w:proofErr w:type="spellEnd"/>
      <w:r w:rsidRPr="00B52191">
        <w:rPr>
          <w:rFonts w:cs="Arial"/>
          <w:spacing w:val="-2"/>
          <w:kern w:val="28"/>
          <w:sz w:val="20"/>
        </w:rPr>
        <w:t xml:space="preserve"> contracts</w:t>
      </w:r>
      <w:r>
        <w:rPr>
          <w:rFonts w:cs="Arial"/>
          <w:spacing w:val="-2"/>
          <w:kern w:val="28"/>
          <w:sz w:val="20"/>
        </w:rPr>
        <w:t xml:space="preserve"> (net of acquisition costs)</w:t>
      </w:r>
    </w:p>
    <w:p w14:paraId="314CC810" w14:textId="77777777" w:rsidR="00277EB1" w:rsidRPr="00B52191" w:rsidRDefault="00277EB1" w:rsidP="006333FE">
      <w:pPr>
        <w:pStyle w:val="Heading3"/>
        <w:keepNext w:val="0"/>
        <w:widowControl/>
        <w:numPr>
          <w:ilvl w:val="0"/>
          <w:numId w:val="0"/>
        </w:numPr>
        <w:tabs>
          <w:tab w:val="right" w:pos="5897"/>
        </w:tabs>
        <w:spacing w:before="120" w:after="120"/>
        <w:ind w:left="720" w:hanging="720"/>
        <w:jc w:val="both"/>
        <w:rPr>
          <w:rFonts w:cs="Arial"/>
          <w:sz w:val="20"/>
        </w:rPr>
      </w:pPr>
      <w:r w:rsidRPr="00B52191">
        <w:rPr>
          <w:rFonts w:cs="Arial"/>
          <w:spacing w:val="-2"/>
          <w:kern w:val="28"/>
          <w:sz w:val="20"/>
        </w:rPr>
        <w:t>(line 6)</w:t>
      </w:r>
    </w:p>
    <w:p w14:paraId="69A3D0DF" w14:textId="77777777" w:rsidR="00277EB1" w:rsidRPr="00B52191" w:rsidRDefault="00277EB1" w:rsidP="00277EB1">
      <w:pPr>
        <w:spacing w:before="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Items to consider would be: tacit or automatic renewals, premiums written before the valuation date but incepting afterwards and pipeline renewals through binder business.</w:t>
      </w:r>
    </w:p>
    <w:p w14:paraId="4C90EAA8" w14:textId="77777777" w:rsidR="00277EB1" w:rsidRPr="00B52191" w:rsidRDefault="00277EB1" w:rsidP="00277EB1">
      <w:pPr>
        <w:pStyle w:val="Heading3"/>
        <w:numPr>
          <w:ilvl w:val="0"/>
          <w:numId w:val="0"/>
        </w:numPr>
        <w:spacing w:before="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6E86FB3B" w14:textId="77777777" w:rsidR="00277EB1" w:rsidRPr="006213D6" w:rsidRDefault="00277EB1" w:rsidP="00277EB1">
      <w:pPr>
        <w:pStyle w:val="Heading3"/>
        <w:numPr>
          <w:ilvl w:val="0"/>
          <w:numId w:val="0"/>
        </w:numPr>
        <w:spacing w:before="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4B60FC38"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62B8DEDC" w14:textId="77777777" w:rsidR="00277EB1" w:rsidRPr="00B52191" w:rsidRDefault="00277EB1" w:rsidP="00277EB1">
      <w:pPr>
        <w:spacing w:before="120" w:line="280" w:lineRule="atLeast"/>
        <w:rPr>
          <w:rFonts w:ascii="Arial" w:hAnsi="Arial" w:cs="Arial"/>
        </w:rPr>
      </w:pPr>
      <w:r w:rsidRPr="00B52191">
        <w:rPr>
          <w:rFonts w:ascii="Arial" w:hAnsi="Arial" w:cs="Arial"/>
        </w:rPr>
        <w:t>EIOPA have suggested that reinsurance recoveries may be (</w:t>
      </w:r>
      <w:proofErr w:type="spellStart"/>
      <w:r w:rsidRPr="00B52191">
        <w:rPr>
          <w:rFonts w:ascii="Arial" w:hAnsi="Arial" w:cs="Arial"/>
        </w:rPr>
        <w:t>i</w:t>
      </w:r>
      <w:proofErr w:type="spellEnd"/>
      <w:r w:rsidRPr="00B52191">
        <w:rPr>
          <w:rFonts w:ascii="Arial" w:hAnsi="Arial" w:cs="Arial"/>
        </w:rPr>
        <w:t xml:space="preserve">)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t>
      </w:r>
    </w:p>
    <w:p w14:paraId="694A9B0D" w14:textId="77777777" w:rsidR="00277EB1" w:rsidRPr="00B52191" w:rsidRDefault="00277EB1" w:rsidP="00277EB1">
      <w:pPr>
        <w:spacing w:before="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6E2B2899" w14:textId="77777777" w:rsidR="00277EB1" w:rsidRDefault="007B699F" w:rsidP="00277EB1">
      <w:pPr>
        <w:spacing w:before="120" w:line="280" w:lineRule="atLeast"/>
        <w:rPr>
          <w:rFonts w:ascii="Arial" w:hAnsi="Arial" w:cs="Arial"/>
        </w:rPr>
      </w:pPr>
      <w:r w:rsidRPr="00876243">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7D5279E9" w14:textId="77777777" w:rsidR="00277EB1" w:rsidRPr="00B52191" w:rsidRDefault="00277EB1" w:rsidP="00277EB1">
      <w:pPr>
        <w:spacing w:before="120" w:line="280" w:lineRule="atLeast"/>
        <w:rPr>
          <w:rFonts w:ascii="Arial" w:hAnsi="Arial" w:cs="Arial"/>
          <w:b/>
          <w:spacing w:val="-2"/>
          <w:kern w:val="28"/>
        </w:rPr>
      </w:pPr>
      <w:r w:rsidRPr="006F1F0F">
        <w:rPr>
          <w:rFonts w:ascii="Arial" w:hAnsi="Arial" w:cs="Arial"/>
          <w:b/>
          <w:spacing w:val="-2"/>
          <w:kern w:val="28"/>
        </w:rPr>
        <w:t xml:space="preserve">Net premium provision - net future claims cost </w:t>
      </w:r>
      <w:proofErr w:type="spellStart"/>
      <w:r w:rsidRPr="006F1F0F">
        <w:rPr>
          <w:rFonts w:ascii="Arial" w:hAnsi="Arial" w:cs="Arial"/>
          <w:b/>
          <w:spacing w:val="-2"/>
          <w:kern w:val="28"/>
        </w:rPr>
        <w:t>unincepted</w:t>
      </w:r>
      <w:proofErr w:type="spellEnd"/>
      <w:r w:rsidRPr="006F1F0F">
        <w:rPr>
          <w:rFonts w:ascii="Arial" w:hAnsi="Arial" w:cs="Arial"/>
          <w:b/>
          <w:spacing w:val="-2"/>
          <w:kern w:val="28"/>
        </w:rPr>
        <w:t xml:space="preserve">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601BC8B1"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sidR="00CF5340">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24EF219E"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04E972C8"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w:t>
      </w:r>
      <w:r w:rsidRPr="00B52191">
        <w:rPr>
          <w:rFonts w:ascii="Arial" w:hAnsi="Arial" w:cs="Arial"/>
        </w:rPr>
        <w:lastRenderedPageBreak/>
        <w:t>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t>
      </w:r>
      <w:r>
        <w:rPr>
          <w:rFonts w:ascii="Arial" w:hAnsi="Arial" w:cs="Arial"/>
        </w:rPr>
        <w:t>;</w:t>
      </w:r>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w:t>
      </w:r>
      <w:proofErr w:type="spellStart"/>
      <w:r>
        <w:rPr>
          <w:rFonts w:ascii="Arial" w:hAnsi="Arial" w:cs="Arial"/>
        </w:rPr>
        <w:t>unincepted</w:t>
      </w:r>
      <w:proofErr w:type="spellEnd"/>
      <w:r>
        <w:rPr>
          <w:rFonts w:ascii="Arial" w:hAnsi="Arial" w:cs="Arial"/>
        </w:rPr>
        <w:t xml:space="preserve"> business.</w:t>
      </w:r>
    </w:p>
    <w:p w14:paraId="0AE527F8"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143B093F" w14:textId="77777777" w:rsidR="00BF3278" w:rsidRPr="00BF3278" w:rsidRDefault="00277EB1" w:rsidP="000B5F01">
      <w:pPr>
        <w:spacing w:before="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37DE798C"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6CE9CA85" w14:textId="1806F279" w:rsidR="00F05163" w:rsidRDefault="00277EB1" w:rsidP="00277EB1">
      <w:pPr>
        <w:spacing w:before="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624E0E">
        <w:rPr>
          <w:rFonts w:ascii="Arial" w:hAnsi="Arial" w:cs="Arial"/>
        </w:rPr>
        <w:t>the PRA</w:t>
      </w:r>
      <w:r w:rsidR="00624E0E" w:rsidRPr="00B52191">
        <w:rPr>
          <w:rFonts w:ascii="Arial" w:hAnsi="Arial" w:cs="Arial"/>
        </w:rPr>
        <w:t xml:space="preserve"> </w:t>
      </w:r>
      <w:r w:rsidRPr="00B52191">
        <w:rPr>
          <w:rFonts w:ascii="Arial" w:hAnsi="Arial" w:cs="Arial"/>
        </w:rPr>
        <w:t>as at the valuation date.</w:t>
      </w:r>
      <w:r w:rsidR="00D65CA5">
        <w:rPr>
          <w:rFonts w:ascii="Arial" w:hAnsi="Arial" w:cs="Arial"/>
        </w:rPr>
        <w:t xml:space="preserve"> </w:t>
      </w:r>
    </w:p>
    <w:p w14:paraId="600B4846" w14:textId="77777777" w:rsidR="00277EB1" w:rsidRPr="00B52191" w:rsidRDefault="00274559" w:rsidP="00277EB1">
      <w:pPr>
        <w:spacing w:before="120" w:line="280" w:lineRule="atLeast"/>
        <w:rPr>
          <w:rFonts w:ascii="Arial" w:hAnsi="Arial" w:cs="Arial"/>
          <w:b/>
        </w:rPr>
      </w:pPr>
      <w:bookmarkStart w:id="1911" w:name="_Hlk61607522"/>
      <w:r>
        <w:rPr>
          <w:rFonts w:ascii="Arial" w:hAnsi="Arial" w:cs="Arial"/>
        </w:rPr>
        <w:t>For further guidance regarding discount rates</w:t>
      </w:r>
      <w:r w:rsidR="005B5491">
        <w:rPr>
          <w:rFonts w:ascii="Arial" w:hAnsi="Arial" w:cs="Arial"/>
        </w:rPr>
        <w:t xml:space="preserve"> following the UK’s exit from the EU</w:t>
      </w:r>
      <w:r w:rsidR="00F05163">
        <w:rPr>
          <w:rFonts w:ascii="Arial" w:hAnsi="Arial" w:cs="Arial"/>
        </w:rPr>
        <w:t>, p</w:t>
      </w:r>
      <w:r w:rsidR="00D65CA5">
        <w:rPr>
          <w:rFonts w:ascii="Arial" w:hAnsi="Arial" w:cs="Arial"/>
        </w:rPr>
        <w:t xml:space="preserve">lease refer to </w:t>
      </w:r>
      <w:r w:rsidR="00F05163">
        <w:rPr>
          <w:rFonts w:ascii="Arial" w:hAnsi="Arial" w:cs="Arial"/>
        </w:rPr>
        <w:t xml:space="preserve">QSR 002, risk margin, </w:t>
      </w:r>
      <w:r w:rsidR="00D65CA5">
        <w:rPr>
          <w:rFonts w:ascii="Arial" w:hAnsi="Arial" w:cs="Arial"/>
        </w:rPr>
        <w:t>paragraph</w:t>
      </w:r>
      <w:r w:rsidR="005B5491">
        <w:rPr>
          <w:rFonts w:ascii="Arial" w:hAnsi="Arial" w:cs="Arial"/>
        </w:rPr>
        <w:t xml:space="preserve"> </w:t>
      </w:r>
      <w:r w:rsidR="00D65CA5">
        <w:rPr>
          <w:rFonts w:ascii="Arial" w:hAnsi="Arial" w:cs="Arial"/>
        </w:rPr>
        <w:t>“In discounting technical provisions”</w:t>
      </w:r>
      <w:r w:rsidR="00F05163">
        <w:rPr>
          <w:rFonts w:ascii="Arial" w:hAnsi="Arial" w:cs="Arial"/>
        </w:rPr>
        <w:t xml:space="preserve"> onwards.</w:t>
      </w:r>
    </w:p>
    <w:bookmarkEnd w:id="1911"/>
    <w:p w14:paraId="2BE09E4A" w14:textId="77777777" w:rsidR="00277EB1" w:rsidRPr="00B52191" w:rsidRDefault="00277EB1" w:rsidP="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63255632"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‘total’ column) must agree to QSR002,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2A68A9C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0C4653E6" w14:textId="77777777" w:rsidR="00277EB1" w:rsidRPr="00B52191" w:rsidRDefault="00277EB1" w:rsidP="00277EB1">
      <w:pPr>
        <w:spacing w:before="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010D43CC" w14:textId="68A7EC2A" w:rsidR="00277EB1" w:rsidRPr="00B52191" w:rsidRDefault="00277EB1" w:rsidP="00277EB1">
      <w:pPr>
        <w:spacing w:before="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w:t>
      </w:r>
    </w:p>
    <w:p w14:paraId="74EEA726" w14:textId="77777777" w:rsidR="00277EB1" w:rsidRPr="00B52191" w:rsidRDefault="00277EB1" w:rsidP="00277EB1">
      <w:pPr>
        <w:spacing w:before="120" w:line="280" w:lineRule="atLeast"/>
        <w:rPr>
          <w:rFonts w:ascii="Arial" w:hAnsi="Arial" w:cs="Arial"/>
        </w:rPr>
      </w:pPr>
      <w:r w:rsidRPr="00B52191">
        <w:rPr>
          <w:rFonts w:ascii="Arial" w:hAnsi="Arial" w:cs="Arial"/>
        </w:rPr>
        <w:t>Therefore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28F45E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line or the Solvency II adjustment is not in line with the Solvency II change in result, Lloyd’s will require an explanation on QSR990. </w:t>
      </w:r>
    </w:p>
    <w:p w14:paraId="4D7A9AD8" w14:textId="77777777" w:rsidR="00277EB1" w:rsidRPr="00B52191" w:rsidRDefault="00277EB1" w:rsidP="00277EB1">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lastRenderedPageBreak/>
        <w:t>Transfer of Solvency II valuation difference to reinsuring syndicate year (line 1</w:t>
      </w:r>
      <w:r>
        <w:rPr>
          <w:rFonts w:cs="Arial"/>
          <w:spacing w:val="-2"/>
          <w:kern w:val="28"/>
          <w:sz w:val="20"/>
        </w:rPr>
        <w:t>5</w:t>
      </w:r>
      <w:r w:rsidRPr="00B52191">
        <w:rPr>
          <w:rFonts w:cs="Arial"/>
          <w:spacing w:val="-2"/>
          <w:kern w:val="28"/>
          <w:sz w:val="20"/>
        </w:rPr>
        <w:t>)</w:t>
      </w:r>
    </w:p>
    <w:p w14:paraId="73933313" w14:textId="0D1BE7EB" w:rsidR="00277EB1" w:rsidRPr="00B52191" w:rsidRDefault="00277EB1" w:rsidP="00277EB1">
      <w:pPr>
        <w:spacing w:before="120" w:line="280" w:lineRule="atLeast"/>
        <w:rPr>
          <w:rFonts w:ascii="Arial" w:hAnsi="Arial" w:cs="Arial"/>
        </w:rPr>
      </w:pPr>
      <w:r w:rsidRPr="00B52191">
        <w:rPr>
          <w:rFonts w:ascii="Arial" w:hAnsi="Arial" w:cs="Arial"/>
        </w:rPr>
        <w:t>Where the reporting year of account is closing as at the reporting date, then the UK GAAP balance</w:t>
      </w:r>
      <w:r w:rsidR="00881086">
        <w:rPr>
          <w:rFonts w:ascii="Arial" w:hAnsi="Arial" w:cs="Arial"/>
        </w:rPr>
        <w:t xml:space="preserve">                </w:t>
      </w:r>
      <w:r w:rsidRPr="00B52191">
        <w:rPr>
          <w:rFonts w:ascii="Arial" w:hAnsi="Arial" w:cs="Arial"/>
        </w:rPr>
        <w:t xml:space="preserve"> shall be used for distribution purposes, without exception, and the impact of any underlying Solvency II valuation differences on the liabilities being transferred by RITC should be assumed by the reinsuring syndicate year.  </w:t>
      </w:r>
    </w:p>
    <w:p w14:paraId="711B523E" w14:textId="77777777" w:rsidR="00277EB1" w:rsidRPr="00B52191" w:rsidRDefault="00277EB1" w:rsidP="00277EB1">
      <w:pPr>
        <w:spacing w:before="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402EF58E" w14:textId="77777777" w:rsidR="00277EB1" w:rsidRPr="00B52191" w:rsidRDefault="00277EB1" w:rsidP="00277EB1">
      <w:pPr>
        <w:spacing w:before="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648F2B1D" w14:textId="77777777" w:rsidR="00277EB1" w:rsidRPr="00B52191" w:rsidRDefault="00277EB1" w:rsidP="00277EB1">
      <w:pPr>
        <w:spacing w:before="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the QSR210 of the reinsuring syndicate year. In addition, details of the reinsuring/ceding syndicate and YOA should be provided in the QSR990 of both the reinsuring and ceding syndicate.</w:t>
      </w:r>
    </w:p>
    <w:p w14:paraId="6375F244" w14:textId="77777777" w:rsidR="00277EB1" w:rsidRPr="00B52191" w:rsidRDefault="00277EB1" w:rsidP="00277EB1">
      <w:pPr>
        <w:spacing w:before="120" w:line="280" w:lineRule="atLeast"/>
        <w:rPr>
          <w:rFonts w:ascii="Arial" w:hAnsi="Arial" w:cs="Arial"/>
          <w:b/>
        </w:rPr>
      </w:pPr>
      <w:r w:rsidRPr="00B52191">
        <w:rPr>
          <w:rFonts w:ascii="Arial" w:hAnsi="Arial" w:cs="Arial"/>
          <w:b/>
        </w:rPr>
        <w:t xml:space="preserve">Note that for the QSR as at </w:t>
      </w:r>
      <w:r w:rsidR="000F6373">
        <w:rPr>
          <w:rFonts w:ascii="Arial" w:hAnsi="Arial" w:cs="Arial"/>
          <w:b/>
        </w:rPr>
        <w:t>any date other than 31 December</w:t>
      </w:r>
      <w:r w:rsidRPr="00B52191">
        <w:rPr>
          <w:rFonts w:ascii="Arial" w:hAnsi="Arial" w:cs="Arial"/>
          <w:b/>
        </w:rPr>
        <w:t>, we would not be expecting any amount to be reported within this line.</w:t>
      </w:r>
    </w:p>
    <w:p w14:paraId="3EDC08C6" w14:textId="77777777" w:rsidR="00C734E2" w:rsidRPr="00C734E2" w:rsidRDefault="00C734E2" w:rsidP="00C734E2"/>
    <w:p w14:paraId="1A496741"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0D0ADB7E" w14:textId="77777777" w:rsidR="007B699F" w:rsidRPr="00876243" w:rsidRDefault="007B699F" w:rsidP="007B699F">
      <w:pPr>
        <w:spacing w:before="120" w:line="280" w:lineRule="atLeast"/>
        <w:rPr>
          <w:rFonts w:ascii="Arial" w:hAnsi="Arial" w:cs="Arial"/>
        </w:rPr>
      </w:pPr>
      <w:r w:rsidRPr="00876243">
        <w:rPr>
          <w:rFonts w:ascii="Arial" w:hAnsi="Arial" w:cs="Arial"/>
        </w:rPr>
        <w: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t>
      </w:r>
      <w:r>
        <w:rPr>
          <w:rFonts w:ascii="Arial" w:hAnsi="Arial" w:cs="Arial"/>
        </w:rPr>
        <w:t xml:space="preserve"> as well as in the analysis table</w:t>
      </w:r>
      <w:r w:rsidRPr="00876243">
        <w:rPr>
          <w:rFonts w:ascii="Arial" w:hAnsi="Arial" w:cs="Arial"/>
        </w:rPr>
        <w:t>.</w:t>
      </w:r>
    </w:p>
    <w:p w14:paraId="7493310F" w14:textId="77777777" w:rsidR="007B699F" w:rsidRPr="00876243" w:rsidRDefault="007B699F" w:rsidP="007B699F">
      <w:pPr>
        <w:spacing w:before="120" w:line="280" w:lineRule="atLeast"/>
        <w:rPr>
          <w:rFonts w:ascii="Arial" w:hAnsi="Arial" w:cs="Arial"/>
        </w:rPr>
      </w:pPr>
      <w:r w:rsidRPr="00876243">
        <w:rPr>
          <w:rFonts w:ascii="Arial" w:hAnsi="Arial" w:cs="Arial"/>
        </w:rPr>
        <w:t>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used please provide appropriate commentary.</w:t>
      </w:r>
    </w:p>
    <w:p w14:paraId="4DCE06CE" w14:textId="0AFD9185" w:rsidR="004D0903" w:rsidRDefault="007B699F" w:rsidP="007B699F">
      <w:pPr>
        <w:spacing w:before="120" w:line="280" w:lineRule="atLeast"/>
        <w:rPr>
          <w:rFonts w:ascii="Arial" w:hAnsi="Arial" w:cs="Arial"/>
        </w:rPr>
      </w:pPr>
      <w:r w:rsidRPr="00876243">
        <w:rPr>
          <w:rFonts w:ascii="Arial" w:hAnsi="Arial" w:cs="Arial"/>
        </w:rPr>
        <w:t>The preferred format is for an adjustment to be made to line 4 or line 8 of the QSR 210 rather than line 16</w:t>
      </w:r>
      <w:r w:rsidR="008B07CB">
        <w:rPr>
          <w:rFonts w:ascii="Arial" w:hAnsi="Arial" w:cs="Arial"/>
        </w:rPr>
        <w:t>.</w:t>
      </w:r>
    </w:p>
    <w:p w14:paraId="73E7FE80" w14:textId="77777777" w:rsidR="00CF3B0D" w:rsidRPr="00EF22B0" w:rsidRDefault="00CF3B0D" w:rsidP="0050580B">
      <w:pPr>
        <w:spacing w:line="280" w:lineRule="atLeast"/>
        <w:rPr>
          <w:rFonts w:ascii="Arial" w:hAnsi="Arial" w:cs="Arial"/>
          <w:lang w:eastAsia="en-US"/>
        </w:rPr>
      </w:pPr>
    </w:p>
    <w:p w14:paraId="261B6365" w14:textId="77777777" w:rsidR="00277EB1" w:rsidRPr="00B52191" w:rsidRDefault="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03C0ECF1" w14:textId="77777777" w:rsidR="00277EB1" w:rsidRPr="00B52191" w:rsidRDefault="00277EB1" w:rsidP="00277EB1">
      <w:pPr>
        <w:spacing w:before="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QSR002 line 90 column B for the respective reporting year.  Where the year is closing at the reporting date, the entry in line </w:t>
      </w:r>
      <w:r w:rsidR="00D44DF7">
        <w:rPr>
          <w:rFonts w:ascii="Arial" w:hAnsi="Arial" w:cs="Arial"/>
        </w:rPr>
        <w:t>17</w:t>
      </w:r>
      <w:r w:rsidRPr="00B52191">
        <w:rPr>
          <w:rFonts w:ascii="Arial" w:hAnsi="Arial" w:cs="Arial"/>
        </w:rPr>
        <w:t xml:space="preserve"> must be zero.</w:t>
      </w:r>
    </w:p>
    <w:p w14:paraId="1B4E8576"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2E62C447" w14:textId="13895213" w:rsidR="00277EB1" w:rsidRDefault="00277EB1" w:rsidP="00277EB1">
      <w:pPr>
        <w:jc w:val="both"/>
        <w:rPr>
          <w:rFonts w:ascii="Arial" w:hAnsi="Arial" w:cs="Arial"/>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QSR002 line 90 column C for the respective reporting year.</w:t>
      </w:r>
    </w:p>
    <w:p w14:paraId="161E5482" w14:textId="48054007" w:rsidR="006B3ACE" w:rsidRDefault="006B3ACE" w:rsidP="00277EB1">
      <w:pPr>
        <w:jc w:val="both"/>
        <w:rPr>
          <w:rFonts w:ascii="Arial" w:hAnsi="Arial" w:cs="Arial"/>
        </w:rPr>
      </w:pPr>
    </w:p>
    <w:p w14:paraId="60C7933B" w14:textId="77777777" w:rsidR="006B3ACE" w:rsidRPr="00B52191" w:rsidRDefault="006B3ACE" w:rsidP="00277EB1">
      <w:pPr>
        <w:jc w:val="both"/>
        <w:rPr>
          <w:rFonts w:ascii="Arial" w:hAnsi="Arial" w:cs="Arial"/>
          <w:b/>
          <w:lang w:eastAsia="en-US"/>
        </w:rPr>
      </w:pPr>
    </w:p>
    <w:p w14:paraId="1E10AB6A" w14:textId="77777777" w:rsidR="008D5A8F" w:rsidRDefault="008A50F5" w:rsidP="008D5A8F">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 xml:space="preserve">Unearned </w:t>
      </w:r>
      <w:r w:rsidR="00C91D47">
        <w:rPr>
          <w:rFonts w:cs="Arial"/>
          <w:spacing w:val="-2"/>
          <w:kern w:val="28"/>
          <w:sz w:val="20"/>
        </w:rPr>
        <w:t>incepted ultimate premium</w:t>
      </w:r>
      <w:r w:rsidR="008D5A8F" w:rsidRPr="00093297">
        <w:rPr>
          <w:rFonts w:cs="Arial"/>
          <w:spacing w:val="-2"/>
          <w:kern w:val="28"/>
          <w:sz w:val="20"/>
        </w:rPr>
        <w:t xml:space="preserve"> (Line 19)</w:t>
      </w:r>
    </w:p>
    <w:p w14:paraId="07D03EEF" w14:textId="77777777" w:rsidR="00835094" w:rsidRDefault="00835094" w:rsidP="00835094">
      <w:pPr>
        <w:spacing w:line="276" w:lineRule="auto"/>
        <w:rPr>
          <w:rFonts w:ascii="Arial" w:hAnsi="Arial" w:cs="Arial"/>
        </w:rPr>
      </w:pPr>
      <w:bookmarkStart w:id="1912" w:name="_Toc369095910"/>
      <w:bookmarkStart w:id="1913" w:name="_Toc369097733"/>
      <w:bookmarkStart w:id="1914" w:name="_Hlk21695530"/>
      <w:bookmarkEnd w:id="1912"/>
      <w:bookmarkEnd w:id="1913"/>
      <w:r>
        <w:rPr>
          <w:rFonts w:ascii="Arial" w:hAnsi="Arial" w:cs="Arial"/>
        </w:rPr>
        <w:t>This line is required for all quarterly/annual submissions.</w:t>
      </w:r>
    </w:p>
    <w:bookmarkEnd w:id="1914"/>
    <w:p w14:paraId="5B0AFE16" w14:textId="77777777" w:rsidR="00835094" w:rsidRPr="000B5F01" w:rsidRDefault="00835094" w:rsidP="00835094"/>
    <w:p w14:paraId="4FC272B9" w14:textId="77777777" w:rsidR="00835094" w:rsidRDefault="00835094" w:rsidP="00835094">
      <w:pPr>
        <w:spacing w:line="276" w:lineRule="auto"/>
        <w:rPr>
          <w:rFonts w:ascii="Arial" w:hAnsi="Arial" w:cs="Arial"/>
        </w:rPr>
      </w:pPr>
      <w:r w:rsidRPr="00C91D47">
        <w:rPr>
          <w:rFonts w:ascii="Arial" w:hAnsi="Arial" w:cs="Arial"/>
        </w:rPr>
        <w:t xml:space="preserve">The total unearned incepted premium must be reported here. It should be net of RI and should be considered as the ultimate equivalent to the </w:t>
      </w:r>
      <w:r>
        <w:rPr>
          <w:rFonts w:ascii="Arial" w:hAnsi="Arial" w:cs="Arial"/>
        </w:rPr>
        <w:t xml:space="preserve">component </w:t>
      </w:r>
      <w:r w:rsidRPr="00C91D47">
        <w:rPr>
          <w:rFonts w:ascii="Arial" w:hAnsi="Arial" w:cs="Arial"/>
        </w:rPr>
        <w:t xml:space="preserve">entry for line 5 </w:t>
      </w:r>
      <w:r>
        <w:rPr>
          <w:rFonts w:ascii="Arial" w:hAnsi="Arial" w:cs="Arial"/>
        </w:rPr>
        <w:t xml:space="preserve">that </w:t>
      </w:r>
      <w:r w:rsidRPr="00C91D47">
        <w:rPr>
          <w:rFonts w:ascii="Arial" w:hAnsi="Arial" w:cs="Arial"/>
        </w:rPr>
        <w:t xml:space="preserve">only contains the </w:t>
      </w:r>
      <w:r>
        <w:rPr>
          <w:rFonts w:ascii="Arial" w:hAnsi="Arial" w:cs="Arial"/>
        </w:rPr>
        <w:t xml:space="preserve">portion related to </w:t>
      </w:r>
      <w:r w:rsidRPr="00C91D47">
        <w:rPr>
          <w:rFonts w:ascii="Arial" w:hAnsi="Arial" w:cs="Arial"/>
        </w:rPr>
        <w:t xml:space="preserve">future </w:t>
      </w:r>
      <w:r>
        <w:rPr>
          <w:rFonts w:ascii="Arial" w:hAnsi="Arial" w:cs="Arial"/>
        </w:rPr>
        <w:t xml:space="preserve">unearned </w:t>
      </w:r>
      <w:r w:rsidRPr="00C91D47">
        <w:rPr>
          <w:rFonts w:ascii="Arial" w:hAnsi="Arial" w:cs="Arial"/>
        </w:rPr>
        <w:t>p</w:t>
      </w:r>
      <w:r>
        <w:rPr>
          <w:rFonts w:ascii="Arial" w:hAnsi="Arial" w:cs="Arial"/>
        </w:rPr>
        <w:t>remiums</w:t>
      </w:r>
      <w:r w:rsidRPr="00C91D47">
        <w:rPr>
          <w:rFonts w:ascii="Arial" w:hAnsi="Arial" w:cs="Arial"/>
        </w:rPr>
        <w:t>. This should be a positive entry.</w:t>
      </w:r>
    </w:p>
    <w:p w14:paraId="71B81026" w14:textId="6AE39E29" w:rsidR="00835094" w:rsidRDefault="00835094" w:rsidP="00835094">
      <w:pPr>
        <w:spacing w:line="276" w:lineRule="auto"/>
        <w:rPr>
          <w:rFonts w:ascii="Arial" w:hAnsi="Arial" w:cs="Arial"/>
        </w:rPr>
      </w:pPr>
    </w:p>
    <w:p w14:paraId="39376B41" w14:textId="77777777" w:rsidR="00835094" w:rsidRDefault="00835094" w:rsidP="00835094">
      <w:pPr>
        <w:spacing w:line="276" w:lineRule="auto"/>
        <w:rPr>
          <w:rFonts w:ascii="Arial" w:hAnsi="Arial" w:cs="Arial"/>
        </w:rPr>
      </w:pPr>
    </w:p>
    <w:p w14:paraId="3D50860E" w14:textId="77777777" w:rsidR="00835094" w:rsidRPr="00AB6843" w:rsidRDefault="00835094" w:rsidP="00835094">
      <w:pPr>
        <w:spacing w:line="276" w:lineRule="auto"/>
        <w:rPr>
          <w:rFonts w:ascii="Arial" w:hAnsi="Arial" w:cs="Arial"/>
          <w:u w:val="single"/>
        </w:rPr>
      </w:pPr>
      <w:r w:rsidRPr="00AB6843">
        <w:rPr>
          <w:rFonts w:ascii="Arial" w:hAnsi="Arial" w:cs="Arial"/>
          <w:u w:val="single"/>
        </w:rPr>
        <w:t>31 December</w:t>
      </w:r>
    </w:p>
    <w:p w14:paraId="5533917D" w14:textId="77777777" w:rsidR="00835094" w:rsidRPr="00C91D47" w:rsidRDefault="00835094" w:rsidP="00835094">
      <w:pPr>
        <w:spacing w:line="276" w:lineRule="auto"/>
        <w:rPr>
          <w:rFonts w:ascii="Arial" w:hAnsi="Arial" w:cs="Arial"/>
        </w:rPr>
      </w:pPr>
    </w:p>
    <w:p w14:paraId="36615069" w14:textId="2DC67916" w:rsidR="00835094" w:rsidRDefault="00835094" w:rsidP="00835094">
      <w:pPr>
        <w:spacing w:line="276" w:lineRule="auto"/>
        <w:rPr>
          <w:rFonts w:ascii="Arial" w:hAnsi="Arial" w:cs="Arial"/>
        </w:rPr>
      </w:pPr>
      <w:r w:rsidRPr="00C91D47">
        <w:rPr>
          <w:rFonts w:ascii="Arial" w:hAnsi="Arial" w:cs="Arial"/>
        </w:rPr>
        <w:t xml:space="preserve">The unearned incepted loss ratio that will be derived in conjunction with Line 20 (Line 20 divided by Line 19) must not be </w:t>
      </w:r>
      <w:r w:rsidRPr="00457CAE">
        <w:rPr>
          <w:rFonts w:ascii="Arial" w:hAnsi="Arial" w:cs="Arial"/>
        </w:rPr>
        <w:t>less</w:t>
      </w:r>
      <w:r w:rsidRPr="00C91D47">
        <w:rPr>
          <w:rFonts w:ascii="Arial" w:hAnsi="Arial" w:cs="Arial"/>
        </w:rPr>
        <w:t xml:space="preserve"> than that corresponding to the value identified by the Signing Actuary in the SAO template and report (or formal letter)</w:t>
      </w:r>
      <w:r>
        <w:rPr>
          <w:rFonts w:ascii="Arial" w:hAnsi="Arial" w:cs="Arial"/>
        </w:rPr>
        <w:t>, by reporting year</w:t>
      </w:r>
      <w:r w:rsidRPr="00C91D47">
        <w:rPr>
          <w:rFonts w:ascii="Arial" w:hAnsi="Arial" w:cs="Arial"/>
        </w:rPr>
        <w:t>. We expect a consistent premium basis (i.e. Net-Gross or Net-Net with consistent assessment of DAC) as reported by the Signing Actuary</w:t>
      </w:r>
      <w:r>
        <w:rPr>
          <w:rFonts w:ascii="Arial" w:hAnsi="Arial" w:cs="Arial"/>
        </w:rPr>
        <w:t>,</w:t>
      </w:r>
      <w:r w:rsidRPr="00C91D47">
        <w:rPr>
          <w:rFonts w:ascii="Arial" w:hAnsi="Arial" w:cs="Arial"/>
        </w:rPr>
        <w:t xml:space="preserve"> although it is not necessarily the case that the ultimate premium identified would be the same.</w:t>
      </w:r>
    </w:p>
    <w:p w14:paraId="4E56AA7B" w14:textId="77777777" w:rsidR="00835094" w:rsidRPr="00C91D47" w:rsidRDefault="00835094" w:rsidP="00835094">
      <w:pPr>
        <w:spacing w:line="276" w:lineRule="auto"/>
        <w:rPr>
          <w:rFonts w:ascii="Arial" w:hAnsi="Arial" w:cs="Arial"/>
        </w:rPr>
      </w:pPr>
    </w:p>
    <w:p w14:paraId="6DD6FE75" w14:textId="77777777" w:rsidR="00835094" w:rsidRDefault="00835094" w:rsidP="00835094">
      <w:pPr>
        <w:spacing w:line="276" w:lineRule="auto"/>
        <w:rPr>
          <w:rFonts w:ascii="Arial" w:hAnsi="Arial" w:cs="Arial"/>
        </w:rPr>
      </w:pPr>
      <w:r w:rsidRPr="00C91D47">
        <w:rPr>
          <w:rFonts w:ascii="Arial" w:hAnsi="Arial" w:cs="Arial"/>
        </w:rPr>
        <w: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t>
      </w:r>
      <w:r>
        <w:rPr>
          <w:rFonts w:ascii="Arial" w:hAnsi="Arial" w:cs="Arial"/>
        </w:rPr>
        <w:t xml:space="preserve"> analysis table</w:t>
      </w:r>
      <w:r w:rsidRPr="00C91D47">
        <w:rPr>
          <w:rFonts w:ascii="Arial" w:hAnsi="Arial" w:cs="Arial"/>
        </w:rPr>
        <w:t xml:space="preserve">. For the avoidance of doubt an offset cannot be applied between any surplus in the earned and unearned margins when deriving the solvency load. </w:t>
      </w:r>
    </w:p>
    <w:p w14:paraId="6BECBD2C" w14:textId="77777777" w:rsidR="00835094" w:rsidRDefault="00835094" w:rsidP="00835094">
      <w:pPr>
        <w:spacing w:line="276" w:lineRule="auto"/>
        <w:rPr>
          <w:rFonts w:ascii="Arial" w:hAnsi="Arial" w:cs="Arial"/>
        </w:rPr>
      </w:pPr>
    </w:p>
    <w:p w14:paraId="742225C3" w14:textId="1111B8D4" w:rsidR="00835094" w:rsidRDefault="00835094" w:rsidP="00835094">
      <w:pPr>
        <w:spacing w:line="276" w:lineRule="auto"/>
        <w:rPr>
          <w:rFonts w:ascii="Arial" w:hAnsi="Arial" w:cs="Arial"/>
        </w:rPr>
      </w:pPr>
      <w:r>
        <w:rPr>
          <w:rFonts w:ascii="Arial" w:hAnsi="Arial" w:cs="Arial"/>
        </w:rPr>
        <w:t>Compliance with this requirement at Q4 will be reviewed by Lloyd’s</w:t>
      </w:r>
      <w:r w:rsidR="00C20FF9">
        <w:rPr>
          <w:rFonts w:ascii="Arial" w:hAnsi="Arial" w:cs="Arial"/>
        </w:rPr>
        <w:t xml:space="preserve"> within the ASR</w:t>
      </w:r>
      <w:r>
        <w:rPr>
          <w:rFonts w:ascii="Arial" w:hAnsi="Arial" w:cs="Arial"/>
        </w:rPr>
        <w:t xml:space="preserve">. However rather than any non-compliance result in a capital loading, Lloyd’s will require resubmission of the </w:t>
      </w:r>
      <w:r w:rsidR="00C20FF9">
        <w:rPr>
          <w:rFonts w:ascii="Arial" w:hAnsi="Arial" w:cs="Arial"/>
        </w:rPr>
        <w:t xml:space="preserve">ASR </w:t>
      </w:r>
      <w:r>
        <w:rPr>
          <w:rFonts w:ascii="Arial" w:hAnsi="Arial" w:cs="Arial"/>
        </w:rPr>
        <w:t xml:space="preserve">form and will require that the tests are met, either via Line 19 and Line 20 or as an adjustment to </w:t>
      </w:r>
      <w:r w:rsidR="00C20FF9">
        <w:rPr>
          <w:rFonts w:ascii="Arial" w:hAnsi="Arial" w:cs="Arial"/>
        </w:rPr>
        <w:t xml:space="preserve">ASR210 </w:t>
      </w:r>
      <w:r>
        <w:rPr>
          <w:rFonts w:ascii="Arial" w:hAnsi="Arial" w:cs="Arial"/>
        </w:rPr>
        <w:t>Line 16.</w:t>
      </w:r>
    </w:p>
    <w:p w14:paraId="5D0F8F84" w14:textId="77777777" w:rsidR="00835094" w:rsidRDefault="00835094" w:rsidP="00835094">
      <w:pPr>
        <w:spacing w:line="276" w:lineRule="auto"/>
        <w:rPr>
          <w:rFonts w:ascii="Arial" w:hAnsi="Arial" w:cs="Arial"/>
        </w:rPr>
      </w:pPr>
    </w:p>
    <w:p w14:paraId="3901A786" w14:textId="77777777" w:rsidR="00835094" w:rsidRPr="00AB6843" w:rsidRDefault="00835094" w:rsidP="00835094">
      <w:pPr>
        <w:spacing w:line="276" w:lineRule="auto"/>
        <w:rPr>
          <w:rFonts w:ascii="Arial" w:hAnsi="Arial" w:cs="Arial"/>
          <w:u w:val="single"/>
        </w:rPr>
      </w:pPr>
      <w:r>
        <w:rPr>
          <w:rFonts w:ascii="Arial" w:hAnsi="Arial" w:cs="Arial"/>
          <w:u w:val="single"/>
        </w:rPr>
        <w:t>31 March, 30 June and 30 September</w:t>
      </w:r>
    </w:p>
    <w:p w14:paraId="0F84A117" w14:textId="77777777" w:rsidR="00835094" w:rsidRDefault="00835094" w:rsidP="00835094">
      <w:pPr>
        <w:spacing w:line="276" w:lineRule="auto"/>
        <w:rPr>
          <w:rFonts w:ascii="Arial" w:hAnsi="Arial"/>
        </w:rPr>
      </w:pPr>
    </w:p>
    <w:p w14:paraId="6E24A7ED" w14:textId="75B9EBC4" w:rsidR="00835094" w:rsidRPr="00C91D47" w:rsidRDefault="00835094" w:rsidP="00835094">
      <w:pPr>
        <w:spacing w:line="276" w:lineRule="auto"/>
        <w:rPr>
          <w:rFonts w:ascii="Arial" w:hAnsi="Arial" w:cs="Arial"/>
        </w:rPr>
      </w:pPr>
      <w:r>
        <w:rPr>
          <w:rFonts w:ascii="Arial" w:hAnsi="Arial"/>
        </w:rPr>
        <w:t xml:space="preserve">Lloyd’s is no longer performing testing </w:t>
      </w:r>
      <w:r w:rsidR="00B35D35">
        <w:rPr>
          <w:rFonts w:ascii="Arial" w:hAnsi="Arial"/>
        </w:rPr>
        <w:t>on</w:t>
      </w:r>
      <w:r>
        <w:rPr>
          <w:rFonts w:ascii="Arial" w:hAnsi="Arial"/>
        </w:rPr>
        <w:t xml:space="preserve"> </w:t>
      </w:r>
      <w:r w:rsidR="00875BFD">
        <w:rPr>
          <w:rFonts w:ascii="Arial" w:hAnsi="Arial"/>
        </w:rPr>
        <w:t xml:space="preserve">any </w:t>
      </w:r>
      <w:r>
        <w:rPr>
          <w:rFonts w:ascii="Arial" w:hAnsi="Arial"/>
        </w:rPr>
        <w:t>quarter</w:t>
      </w:r>
      <w:r w:rsidR="002D5FA6">
        <w:rPr>
          <w:rFonts w:ascii="Arial" w:hAnsi="Arial"/>
        </w:rPr>
        <w:t xml:space="preserve">ly returns </w:t>
      </w:r>
      <w:r>
        <w:rPr>
          <w:rFonts w:ascii="Arial" w:hAnsi="Arial"/>
        </w:rPr>
        <w:t xml:space="preserve">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w:t>
      </w:r>
      <w:r w:rsidR="00875BFD">
        <w:rPr>
          <w:rFonts w:ascii="Arial" w:hAnsi="Arial"/>
        </w:rPr>
        <w:t xml:space="preserve">This check will be undertaken for the ASR. </w:t>
      </w:r>
      <w:r>
        <w:rPr>
          <w:rFonts w:ascii="Arial" w:hAnsi="Arial"/>
        </w:rPr>
        <w:t xml:space="preserve">Lloyd’s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Q2</w:t>
      </w:r>
      <w:r w:rsidR="002D5FA6">
        <w:rPr>
          <w:rFonts w:ascii="Arial" w:hAnsi="Arial"/>
        </w:rPr>
        <w:t>,</w:t>
      </w:r>
      <w:r w:rsidRPr="00F046C8">
        <w:rPr>
          <w:rFonts w:ascii="Arial" w:hAnsi="Arial"/>
        </w:rPr>
        <w:t xml:space="preserve"> </w:t>
      </w:r>
      <w:r>
        <w:rPr>
          <w:rFonts w:ascii="Arial" w:hAnsi="Arial"/>
        </w:rPr>
        <w:t xml:space="preserve">Q3 </w:t>
      </w:r>
      <w:r w:rsidR="002D5FA6">
        <w:rPr>
          <w:rFonts w:ascii="Arial" w:hAnsi="Arial"/>
        </w:rPr>
        <w:t xml:space="preserve">and Q4 (QSR) </w:t>
      </w:r>
      <w:r w:rsidRPr="00F046C8">
        <w:rPr>
          <w:rFonts w:ascii="Arial" w:hAnsi="Arial"/>
        </w:rPr>
        <w:t>technical provisions</w:t>
      </w:r>
      <w:r>
        <w:rPr>
          <w:rFonts w:ascii="Arial" w:hAnsi="Arial"/>
        </w:rPr>
        <w:t>.  Lloyd’s may seek further details from syndicates on validations performed on these areas.</w:t>
      </w:r>
    </w:p>
    <w:p w14:paraId="0F4B0E43" w14:textId="77777777" w:rsidR="00835094" w:rsidRDefault="00835094" w:rsidP="00835094">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4D6EC7D4" w14:textId="77777777" w:rsidR="00835094" w:rsidRDefault="00835094" w:rsidP="00835094">
      <w:pPr>
        <w:spacing w:line="276" w:lineRule="auto"/>
        <w:rPr>
          <w:rFonts w:ascii="Arial" w:hAnsi="Arial" w:cs="Arial"/>
        </w:rPr>
      </w:pPr>
      <w:r w:rsidRPr="00F455C0">
        <w:rPr>
          <w:rFonts w:ascii="Arial" w:hAnsi="Arial" w:cs="Arial"/>
        </w:rPr>
        <w:t xml:space="preserve">This line is </w:t>
      </w:r>
      <w:r>
        <w:rPr>
          <w:rFonts w:ascii="Arial" w:hAnsi="Arial" w:cs="Arial"/>
        </w:rPr>
        <w:t>required for all quarterly</w:t>
      </w:r>
      <w:r w:rsidRPr="00F455C0">
        <w:rPr>
          <w:rFonts w:ascii="Arial" w:hAnsi="Arial" w:cs="Arial"/>
        </w:rPr>
        <w:t>/annual submissions.</w:t>
      </w:r>
    </w:p>
    <w:p w14:paraId="2DF4DF4B" w14:textId="77777777" w:rsidR="00835094" w:rsidRDefault="00835094" w:rsidP="00835094"/>
    <w:p w14:paraId="2626FA78" w14:textId="77777777" w:rsidR="00835094" w:rsidRDefault="00835094" w:rsidP="00835094">
      <w:pPr>
        <w:jc w:val="both"/>
        <w:rPr>
          <w:rFonts w:ascii="Arial" w:hAnsi="Arial" w:cs="Arial"/>
        </w:rPr>
      </w:pPr>
      <w:r w:rsidRPr="000B5F01">
        <w:rPr>
          <w:rFonts w:ascii="Arial" w:hAnsi="Arial" w:cs="Arial"/>
        </w:rPr>
        <w:t xml:space="preserve">The total unearned incepted claims must be reported here. That includes </w:t>
      </w:r>
      <w:r>
        <w:rPr>
          <w:rFonts w:ascii="Arial" w:hAnsi="Arial" w:cs="Arial"/>
        </w:rPr>
        <w:t xml:space="preserve">ALAE, </w:t>
      </w:r>
      <w:r w:rsidRPr="000B5F01">
        <w:rPr>
          <w:rFonts w:ascii="Arial" w:hAnsi="Arial" w:cs="Arial"/>
        </w:rPr>
        <w:t>ULAE and bad debt provision and should be considered as exclusively the claims portion of line 8 which reports all future costs. This should be a negative entry.</w:t>
      </w:r>
      <w:r>
        <w:rPr>
          <w:rFonts w:ascii="Arial" w:hAnsi="Arial" w:cs="Arial"/>
        </w:rPr>
        <w:t xml:space="preserve"> E</w:t>
      </w:r>
      <w:r w:rsidRPr="000B5F01">
        <w:rPr>
          <w:rFonts w:ascii="Arial" w:hAnsi="Arial" w:cs="Arial"/>
        </w:rPr>
        <w:t>xplanation</w:t>
      </w:r>
      <w:r>
        <w:rPr>
          <w:rFonts w:ascii="Arial" w:hAnsi="Arial" w:cs="Arial"/>
        </w:rPr>
        <w:t>s</w:t>
      </w:r>
      <w:r w:rsidRPr="000B5F01">
        <w:rPr>
          <w:rFonts w:ascii="Arial" w:hAnsi="Arial" w:cs="Arial"/>
        </w:rPr>
        <w:t xml:space="preserve"> for any difference between Line 8 and Line 20 </w:t>
      </w:r>
      <w:r>
        <w:rPr>
          <w:rFonts w:ascii="Arial" w:hAnsi="Arial" w:cs="Arial"/>
        </w:rPr>
        <w:t>must</w:t>
      </w:r>
      <w:r w:rsidRPr="000B5F01">
        <w:rPr>
          <w:rFonts w:ascii="Arial" w:hAnsi="Arial" w:cs="Arial"/>
        </w:rPr>
        <w:t xml:space="preserve"> be included within the QSR990 comments.</w:t>
      </w:r>
    </w:p>
    <w:p w14:paraId="4063863D" w14:textId="77777777" w:rsidR="00835094" w:rsidRPr="000B5F01" w:rsidRDefault="00835094" w:rsidP="00835094">
      <w:pPr>
        <w:jc w:val="both"/>
        <w:rPr>
          <w:rFonts w:ascii="Arial" w:hAnsi="Arial" w:cs="Arial"/>
        </w:rPr>
      </w:pPr>
    </w:p>
    <w:p w14:paraId="4521B84A" w14:textId="4AA8E6CE" w:rsidR="00835094" w:rsidRDefault="00835094" w:rsidP="00835094">
      <w:pPr>
        <w:jc w:val="both"/>
        <w:rPr>
          <w:rFonts w:ascii="Arial" w:hAnsi="Arial" w:cs="Arial"/>
        </w:rPr>
      </w:pPr>
      <w:r w:rsidRPr="000B5F01">
        <w:rPr>
          <w:rFonts w:ascii="Arial" w:hAnsi="Arial" w:cs="Arial"/>
        </w:rPr>
        <w:t xml:space="preserve">This entry will be used in conjunction with line 19 to </w:t>
      </w:r>
      <w:r w:rsidRPr="00457CAE">
        <w:rPr>
          <w:rFonts w:ascii="Arial" w:hAnsi="Arial" w:cs="Arial"/>
        </w:rPr>
        <w:t xml:space="preserve">produce the unearned incepted loss ratio to compare with the SAO template as described in the guidance for Line 19. </w:t>
      </w:r>
      <w:bookmarkStart w:id="1915" w:name="_Hlk122337939"/>
      <w:r w:rsidRPr="00457CAE">
        <w:rPr>
          <w:rFonts w:ascii="Arial" w:hAnsi="Arial" w:cs="Arial"/>
        </w:rPr>
        <w:t xml:space="preserve">As detailed in the guidance for Line 19, </w:t>
      </w:r>
      <w:r w:rsidR="00875BFD">
        <w:rPr>
          <w:rFonts w:ascii="Arial" w:hAnsi="Arial" w:cs="Arial"/>
        </w:rPr>
        <w:t xml:space="preserve">for the </w:t>
      </w:r>
      <w:r w:rsidR="002D5FA6">
        <w:rPr>
          <w:rFonts w:ascii="Arial" w:hAnsi="Arial" w:cs="Arial"/>
        </w:rPr>
        <w:t>annual return (ASR)</w:t>
      </w:r>
      <w:r w:rsidRPr="00457CAE">
        <w:rPr>
          <w:rFonts w:ascii="Arial" w:hAnsi="Arial" w:cs="Arial"/>
        </w:rPr>
        <w:t>,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 </w:t>
      </w:r>
      <w:r>
        <w:rPr>
          <w:rFonts w:ascii="Arial" w:hAnsi="Arial" w:cs="Arial"/>
        </w:rPr>
        <w:t>other quarters</w:t>
      </w:r>
      <w:r w:rsidRPr="00457CAE">
        <w:rPr>
          <w:rFonts w:ascii="Arial" w:hAnsi="Arial" w:cs="Arial"/>
        </w:rPr>
        <w:t>.</w:t>
      </w:r>
    </w:p>
    <w:bookmarkEnd w:id="1915"/>
    <w:p w14:paraId="39A7B877" w14:textId="77777777" w:rsidR="00835094" w:rsidRPr="000B5F01" w:rsidRDefault="00835094" w:rsidP="00835094">
      <w:pPr>
        <w:jc w:val="both"/>
        <w:rPr>
          <w:rFonts w:ascii="Arial" w:hAnsi="Arial" w:cs="Arial"/>
        </w:rPr>
      </w:pPr>
    </w:p>
    <w:p w14:paraId="725C6EF1" w14:textId="2C6B7A19" w:rsidR="00835094" w:rsidRDefault="00835094" w:rsidP="00835094">
      <w:pPr>
        <w:jc w:val="both"/>
        <w:rPr>
          <w:rFonts w:ascii="Arial" w:hAnsi="Arial" w:cs="Arial"/>
        </w:rPr>
      </w:pPr>
      <w:r w:rsidRPr="000B5F01">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3237CE99" w14:textId="24193543" w:rsidR="006B3ACE" w:rsidRDefault="006B3ACE" w:rsidP="00835094">
      <w:pPr>
        <w:jc w:val="both"/>
        <w:rPr>
          <w:rFonts w:ascii="Arial" w:hAnsi="Arial" w:cs="Arial"/>
        </w:rPr>
      </w:pPr>
    </w:p>
    <w:p w14:paraId="28217E29" w14:textId="2967B5EE" w:rsidR="006B3ACE" w:rsidRDefault="006B3ACE" w:rsidP="00835094">
      <w:pPr>
        <w:jc w:val="both"/>
        <w:rPr>
          <w:rFonts w:ascii="Arial" w:hAnsi="Arial" w:cs="Arial"/>
        </w:rPr>
      </w:pPr>
    </w:p>
    <w:p w14:paraId="0ABB22C3" w14:textId="77777777" w:rsidR="006B3ACE" w:rsidRPr="000B5F01" w:rsidRDefault="006B3ACE" w:rsidP="00835094">
      <w:pPr>
        <w:jc w:val="both"/>
        <w:rPr>
          <w:rFonts w:ascii="Arial" w:hAnsi="Arial" w:cs="Arial"/>
        </w:rPr>
      </w:pPr>
    </w:p>
    <w:p w14:paraId="1BBD71E1" w14:textId="77777777" w:rsidR="00EC6033" w:rsidRPr="00B52191" w:rsidRDefault="00EC6033" w:rsidP="007F3A6D">
      <w:pPr>
        <w:jc w:val="both"/>
        <w:rPr>
          <w:rFonts w:ascii="Arial" w:hAnsi="Arial" w:cs="Arial"/>
          <w:lang w:eastAsia="en-US"/>
        </w:rPr>
      </w:pPr>
    </w:p>
    <w:p w14:paraId="4DC67631" w14:textId="77777777" w:rsidR="004A1C88" w:rsidRPr="00285149" w:rsidRDefault="00285149" w:rsidP="00285149">
      <w:pPr>
        <w:jc w:val="both"/>
        <w:rPr>
          <w:rFonts w:ascii="Arial" w:hAnsi="Arial" w:cs="Arial"/>
          <w:b/>
          <w:sz w:val="22"/>
          <w:szCs w:val="22"/>
        </w:rPr>
      </w:pPr>
      <w:r w:rsidRPr="00285149">
        <w:rPr>
          <w:rFonts w:ascii="Arial" w:hAnsi="Arial" w:cs="Arial"/>
          <w:b/>
          <w:sz w:val="22"/>
          <w:szCs w:val="22"/>
          <w:lang w:eastAsia="en-US"/>
        </w:rPr>
        <w:t>3.</w:t>
      </w:r>
      <w:r w:rsidR="006C2744">
        <w:rPr>
          <w:rFonts w:ascii="Arial" w:hAnsi="Arial" w:cs="Arial"/>
          <w:b/>
          <w:sz w:val="22"/>
          <w:szCs w:val="22"/>
          <w:lang w:eastAsia="en-US"/>
        </w:rPr>
        <w:t>7</w:t>
      </w:r>
      <w:r w:rsidRPr="00285149">
        <w:rPr>
          <w:rFonts w:ascii="Arial" w:hAnsi="Arial" w:cs="Arial"/>
          <w:b/>
          <w:sz w:val="22"/>
          <w:szCs w:val="22"/>
          <w:lang w:eastAsia="en-US"/>
        </w:rPr>
        <w:tab/>
        <w:t>Q</w:t>
      </w:r>
      <w:bookmarkStart w:id="1916" w:name="_Toc346004451"/>
      <w:bookmarkStart w:id="1917" w:name="_Toc346092667"/>
      <w:bookmarkStart w:id="1918" w:name="_Toc346099757"/>
      <w:bookmarkStart w:id="1919" w:name="_Toc346099937"/>
      <w:bookmarkStart w:id="1920" w:name="_Toc346100061"/>
      <w:bookmarkStart w:id="1921" w:name="_Toc346100164"/>
      <w:bookmarkStart w:id="1922" w:name="_Toc346100267"/>
      <w:bookmarkStart w:id="1923" w:name="_Toc346118574"/>
      <w:bookmarkStart w:id="1924" w:name="_Toc346193850"/>
      <w:bookmarkStart w:id="1925" w:name="_Toc346269065"/>
      <w:bookmarkStart w:id="1926" w:name="_Toc346528056"/>
      <w:bookmarkStart w:id="1927" w:name="_Toc346541184"/>
      <w:bookmarkStart w:id="1928" w:name="_Toc346628694"/>
      <w:bookmarkStart w:id="1929" w:name="_Toc346635601"/>
      <w:bookmarkStart w:id="1930" w:name="_Toc346705527"/>
      <w:bookmarkStart w:id="1931" w:name="_Toc346801709"/>
      <w:bookmarkStart w:id="1932" w:name="_Toc346801836"/>
      <w:bookmarkStart w:id="1933" w:name="_Toc346801961"/>
      <w:bookmarkStart w:id="1934" w:name="_Toc346869426"/>
      <w:bookmarkStart w:id="1935" w:name="_Toc346886805"/>
      <w:bookmarkStart w:id="1936" w:name="_Toc346893470"/>
      <w:bookmarkStart w:id="1937" w:name="_Toc346896599"/>
      <w:bookmarkStart w:id="1938" w:name="_Toc347127766"/>
      <w:bookmarkStart w:id="1939" w:name="_Toc347131459"/>
      <w:bookmarkStart w:id="1940" w:name="_Toc347133553"/>
      <w:bookmarkStart w:id="1941" w:name="_Toc347135322"/>
      <w:bookmarkStart w:id="1942" w:name="_Toc347138620"/>
      <w:bookmarkStart w:id="1943" w:name="_Toc347152462"/>
      <w:bookmarkStart w:id="1944" w:name="_Toc347152595"/>
      <w:bookmarkStart w:id="1945" w:name="_Toc347152950"/>
      <w:bookmarkStart w:id="1946" w:name="_Toc347214395"/>
      <w:bookmarkStart w:id="1947" w:name="_Toc347303080"/>
      <w:bookmarkStart w:id="1948" w:name="_Toc347387098"/>
      <w:bookmarkStart w:id="1949" w:name="_Toc347477339"/>
      <w:bookmarkStart w:id="1950" w:name="_Toc347492935"/>
      <w:bookmarkStart w:id="1951" w:name="_Toc347494905"/>
      <w:bookmarkStart w:id="1952" w:name="_Toc347501124"/>
      <w:bookmarkStart w:id="1953" w:name="_Toc352675379"/>
      <w:bookmarkStart w:id="1954" w:name="_Toc343003011"/>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r w:rsidR="004A1C88" w:rsidRPr="00285149">
        <w:rPr>
          <w:rFonts w:ascii="Arial" w:hAnsi="Arial" w:cs="Arial"/>
          <w:b/>
          <w:sz w:val="22"/>
          <w:szCs w:val="22"/>
        </w:rPr>
        <w:t>SR220: Own Funds</w:t>
      </w:r>
      <w:bookmarkEnd w:id="1953"/>
      <w:r w:rsidR="004A1C88" w:rsidRPr="00285149">
        <w:rPr>
          <w:rFonts w:ascii="Arial" w:hAnsi="Arial" w:cs="Arial"/>
          <w:b/>
          <w:sz w:val="22"/>
          <w:szCs w:val="22"/>
        </w:rPr>
        <w:t xml:space="preserve"> </w:t>
      </w:r>
      <w:bookmarkEnd w:id="1954"/>
      <w:r w:rsidR="00B10075">
        <w:rPr>
          <w:rFonts w:ascii="Arial" w:hAnsi="Arial" w:cs="Arial"/>
          <w:b/>
          <w:sz w:val="22"/>
          <w:szCs w:val="22"/>
        </w:rPr>
        <w:t>(S.23.01.01)</w:t>
      </w:r>
    </w:p>
    <w:p w14:paraId="51B10B25" w14:textId="77777777" w:rsidR="00285149" w:rsidRPr="00D82D4F" w:rsidRDefault="00285149" w:rsidP="00285149">
      <w:pPr>
        <w:jc w:val="both"/>
      </w:pPr>
    </w:p>
    <w:p w14:paraId="10056003"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247C18">
        <w:rPr>
          <w:rFonts w:ascii="Arial" w:hAnsi="Arial" w:cs="Arial"/>
          <w:i/>
          <w:color w:val="000000"/>
        </w:rPr>
        <w:t>This form provides a detailed overview of the syndicate’s own funds.</w:t>
      </w:r>
    </w:p>
    <w:p w14:paraId="39411733"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1123DDA4" w14:textId="77777777" w:rsidR="004A1C88" w:rsidRPr="00247C18" w:rsidRDefault="004A1C88" w:rsidP="00655946">
      <w:pPr>
        <w:spacing w:after="120" w:line="280" w:lineRule="atLeast"/>
        <w:rPr>
          <w:rFonts w:ascii="Arial" w:hAnsi="Arial" w:cs="Arial"/>
        </w:rPr>
      </w:pPr>
      <w:r>
        <w:rPr>
          <w:rFonts w:ascii="Arial" w:hAnsi="Arial" w:cs="Arial"/>
        </w:rPr>
        <w:lastRenderedPageBreak/>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27FA9573"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Pr>
          <w:rFonts w:ascii="Arial" w:hAnsi="Arial" w:cs="Arial"/>
        </w:rPr>
        <w:t>M</w:t>
      </w:r>
      <w:r w:rsidRPr="00247C18">
        <w:rPr>
          <w:rFonts w:ascii="Arial" w:hAnsi="Arial" w:cs="Arial"/>
        </w:rPr>
        <w:t>embers’ contributions</w:t>
      </w:r>
      <w:r w:rsidR="000B1232">
        <w:rPr>
          <w:rFonts w:ascii="Arial" w:hAnsi="Arial" w:cs="Arial"/>
        </w:rPr>
        <w:t xml:space="preserve"> (R0040, C0020)</w:t>
      </w:r>
      <w:r w:rsidRPr="00247C18">
        <w:rPr>
          <w:rFonts w:ascii="Arial" w:hAnsi="Arial" w:cs="Arial"/>
        </w:rPr>
        <w:t>: This is the amount of capital contributed by and held by syndicates. Only FIS should be reported on this line.</w:t>
      </w:r>
      <w:r>
        <w:rPr>
          <w:rFonts w:ascii="Arial" w:hAnsi="Arial" w:cs="Arial"/>
        </w:rPr>
        <w:t xml:space="preserve"> FIS is Tier 1 (unrestricted)</w:t>
      </w:r>
      <w:r w:rsidR="005E7B51">
        <w:rPr>
          <w:rFonts w:ascii="Arial" w:hAnsi="Arial" w:cs="Arial"/>
        </w:rPr>
        <w:t>,</w:t>
      </w:r>
      <w:r>
        <w:rPr>
          <w:rFonts w:ascii="Arial" w:hAnsi="Arial" w:cs="Arial"/>
        </w:rPr>
        <w:t xml:space="preserve"> hence we would expect that only B1 is completed.</w:t>
      </w:r>
    </w:p>
    <w:p w14:paraId="53443172"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2</w:t>
      </w:r>
      <w:r w:rsidRPr="00247C18">
        <w:rPr>
          <w:rFonts w:ascii="Arial" w:hAnsi="Arial" w:cs="Arial"/>
        </w:rPr>
        <w:t xml:space="preserve"> – Reconciliation reserve</w:t>
      </w:r>
      <w:r w:rsidR="000B1232">
        <w:rPr>
          <w:rFonts w:ascii="Arial" w:hAnsi="Arial" w:cs="Arial"/>
        </w:rPr>
        <w:t xml:space="preserve"> (R0130)</w:t>
      </w:r>
      <w:r w:rsidRPr="00247C18">
        <w:rPr>
          <w:rFonts w:ascii="Arial" w:hAnsi="Arial" w:cs="Arial"/>
        </w:rPr>
        <w:t>: The reconciliation reserve represents reserves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retained earnings), net of adjustments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f</w:t>
      </w:r>
      <w:r>
        <w:rPr>
          <w:rFonts w:ascii="Arial" w:hAnsi="Arial" w:cs="Arial"/>
        </w:rPr>
        <w:t>oreseeable distributions</w:t>
      </w:r>
      <w:r w:rsidRPr="00247C18">
        <w:rPr>
          <w:rFonts w:ascii="Arial" w:hAnsi="Arial" w:cs="Arial"/>
        </w:rPr>
        <w:t>). It also reconciles differences between the accounting valuation and Solvency II valuation. In the case of syndicates, the value on this line will equal members’ balances, less foreseeable distributions and FIS (if applicable).</w:t>
      </w:r>
    </w:p>
    <w:p w14:paraId="7A29C5FE"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Other items approved by supervisory authority as basic own funds not specified above</w:t>
      </w:r>
      <w:r w:rsidR="000B1232">
        <w:rPr>
          <w:rFonts w:ascii="Arial" w:hAnsi="Arial" w:cs="Arial"/>
        </w:rPr>
        <w:t xml:space="preserve"> (R0180)</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2F9D8A79" w14:textId="77777777"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Total available own funds to meet the SCR</w:t>
      </w:r>
      <w:r w:rsidR="000B1232">
        <w:rPr>
          <w:rFonts w:ascii="Arial" w:hAnsi="Arial" w:cs="Arial"/>
        </w:rPr>
        <w:t xml:space="preserve"> (R0500)</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 that are available to meet the SCR</w:t>
      </w:r>
      <w:r>
        <w:rPr>
          <w:rFonts w:ascii="Arial" w:hAnsi="Arial" w:cs="Arial"/>
        </w:rPr>
        <w:t>. In the case of syndicates, this is the total amount of basic own funds.</w:t>
      </w:r>
    </w:p>
    <w:p w14:paraId="49D61EB2" w14:textId="77777777" w:rsidR="004A1C88" w:rsidRPr="00FF394C" w:rsidRDefault="004A1C88" w:rsidP="00F71697">
      <w:pPr>
        <w:spacing w:after="120" w:line="280" w:lineRule="atLeast"/>
        <w:rPr>
          <w:rFonts w:ascii="Arial" w:hAnsi="Arial" w:cs="Arial"/>
        </w:rPr>
      </w:pPr>
      <w:r w:rsidRPr="00FF394C">
        <w:rPr>
          <w:rFonts w:ascii="Arial" w:hAnsi="Arial" w:cs="Arial"/>
          <w:b/>
        </w:rPr>
        <w:t>Line 6</w:t>
      </w:r>
      <w:r w:rsidRPr="00252EE7">
        <w:rPr>
          <w:rFonts w:ascii="Arial" w:hAnsi="Arial" w:cs="Arial"/>
        </w:rPr>
        <w:t xml:space="preserve"> – Total available own funds to meet the MCR</w:t>
      </w:r>
      <w:r w:rsidR="000B1232">
        <w:rPr>
          <w:rFonts w:ascii="Arial" w:hAnsi="Arial" w:cs="Arial"/>
        </w:rPr>
        <w:t xml:space="preserve"> (R0510)</w:t>
      </w:r>
      <w:r w:rsidRPr="00252EE7">
        <w:rPr>
          <w:rFonts w:ascii="Arial" w:hAnsi="Arial" w:cs="Arial"/>
        </w:rPr>
        <w:t>:</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36646B3B"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Pr>
          <w:rFonts w:ascii="Arial" w:hAnsi="Arial" w:cs="Arial"/>
        </w:rPr>
        <w:t>Total eligible own funds to meet the SCR</w:t>
      </w:r>
      <w:r w:rsidR="00540AA1">
        <w:rPr>
          <w:rFonts w:ascii="Arial" w:hAnsi="Arial" w:cs="Arial"/>
        </w:rPr>
        <w:t xml:space="preserve"> (R054</w:t>
      </w:r>
      <w:r w:rsidR="000B1232">
        <w:rPr>
          <w:rFonts w:ascii="Arial" w:hAnsi="Arial" w:cs="Arial"/>
        </w:rPr>
        <w:t>0)</w:t>
      </w:r>
      <w:r>
        <w:rPr>
          <w:rFonts w:ascii="Arial" w:hAnsi="Arial" w:cs="Arial"/>
        </w:rPr>
        <w:t>: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t>
      </w:r>
    </w:p>
    <w:p w14:paraId="457284BC" w14:textId="77777777"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Total eligible own funds to meet the</w:t>
      </w:r>
      <w:r w:rsidRPr="0016107E">
        <w:rPr>
          <w:rFonts w:ascii="Arial" w:hAnsi="Arial" w:cs="Arial"/>
        </w:rPr>
        <w:t xml:space="preserve"> MCR</w:t>
      </w:r>
      <w:r w:rsidR="000B1232">
        <w:rPr>
          <w:rFonts w:ascii="Arial" w:hAnsi="Arial" w:cs="Arial"/>
        </w:rPr>
        <w:t xml:space="preserve"> (R0550)</w:t>
      </w:r>
      <w:r w:rsidRPr="0016107E">
        <w:rPr>
          <w:rFonts w:ascii="Arial" w:hAnsi="Arial" w:cs="Arial"/>
        </w:rPr>
        <w:t>: At least 80% of the MCR should be covered by Tier 1 eligible own funds with the balance being covered by Tier 2 basic own funds.</w:t>
      </w:r>
    </w:p>
    <w:p w14:paraId="555AF304" w14:textId="77777777"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Solvency Capital Requirement (SCR)</w:t>
      </w:r>
      <w:r w:rsidR="00540AA1">
        <w:rPr>
          <w:rFonts w:ascii="Arial" w:hAnsi="Arial" w:cs="Arial"/>
        </w:rPr>
        <w:t xml:space="preserve"> (R0580)</w:t>
      </w:r>
      <w:r w:rsidRPr="00CA1C52">
        <w:rPr>
          <w:rFonts w:ascii="Arial" w:hAnsi="Arial" w:cs="Arial"/>
        </w:rPr>
        <w:t xml:space="preserve">: This is the total SCR of the syndicate and should correspond to SCR amount reported in </w:t>
      </w:r>
      <w:r w:rsidRPr="007B291F">
        <w:rPr>
          <w:rFonts w:ascii="Arial" w:hAnsi="Arial" w:cs="Arial"/>
        </w:rPr>
        <w:t>QSR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syndicates and QSR511, line 8 for life syndicates</w:t>
      </w:r>
      <w:r w:rsidRPr="007B291F">
        <w:rPr>
          <w:rFonts w:ascii="Arial" w:hAnsi="Arial" w:cs="Arial"/>
        </w:rPr>
        <w:t>.</w:t>
      </w:r>
    </w:p>
    <w:p w14:paraId="1D29CEAD" w14:textId="79E0EF6B" w:rsidR="00274CCC" w:rsidRDefault="00274CCC" w:rsidP="00274CCC">
      <w:pPr>
        <w:spacing w:after="120" w:line="280" w:lineRule="atLeast"/>
        <w:rPr>
          <w:rFonts w:ascii="Arial" w:hAnsi="Arial" w:cs="Arial"/>
        </w:rPr>
      </w:pPr>
      <w:r w:rsidRPr="00274CCC">
        <w:rPr>
          <w:rFonts w:ascii="Arial" w:hAnsi="Arial" w:cs="Arial"/>
        </w:rPr>
        <w:t xml:space="preserve">The SCR to be reported should be the agreed one year SCR amount, including any relevant one year capital add-ons (loadings / adjustments). This is the one year SCR agreed by Lloyd’s Capital and Planning Group (CPG).  </w:t>
      </w:r>
    </w:p>
    <w:p w14:paraId="36BB891B" w14:textId="384701B6" w:rsidR="00945F48" w:rsidRPr="00274CCC" w:rsidRDefault="00945F48" w:rsidP="00274CCC">
      <w:pPr>
        <w:spacing w:after="120" w:line="280" w:lineRule="atLeast"/>
        <w:rPr>
          <w:rFonts w:ascii="Arial" w:hAnsi="Arial" w:cs="Arial"/>
        </w:rPr>
      </w:pPr>
      <w:r w:rsidRPr="00274CCC">
        <w:rPr>
          <w:rFonts w:ascii="Arial" w:hAnsi="Arial" w:cs="Arial"/>
        </w:rPr>
        <w:t>For Q</w:t>
      </w:r>
      <w:r>
        <w:rPr>
          <w:rFonts w:ascii="Arial" w:hAnsi="Arial" w:cs="Arial"/>
        </w:rPr>
        <w:t>1</w:t>
      </w:r>
      <w:r w:rsidRPr="00274CCC">
        <w:rPr>
          <w:rFonts w:ascii="Arial" w:hAnsi="Arial" w:cs="Arial"/>
        </w:rPr>
        <w:t xml:space="preserve"> </w:t>
      </w:r>
      <w:r>
        <w:rPr>
          <w:rFonts w:ascii="Arial" w:hAnsi="Arial" w:cs="Arial"/>
        </w:rPr>
        <w:t>202</w:t>
      </w:r>
      <w:r w:rsidR="001E28B7">
        <w:rPr>
          <w:rFonts w:ascii="Arial" w:hAnsi="Arial" w:cs="Arial"/>
        </w:rPr>
        <w:t>5</w:t>
      </w:r>
      <w:r w:rsidRPr="00274CCC">
        <w:rPr>
          <w:rFonts w:ascii="Arial" w:hAnsi="Arial" w:cs="Arial"/>
        </w:rPr>
        <w:t xml:space="preserve"> QSR reporting, the SCR figure should be the </w:t>
      </w:r>
      <w:r>
        <w:rPr>
          <w:rFonts w:ascii="Arial" w:hAnsi="Arial" w:cs="Arial"/>
        </w:rPr>
        <w:t>202</w:t>
      </w:r>
      <w:r w:rsidR="001E28B7">
        <w:rPr>
          <w:rFonts w:ascii="Arial" w:hAnsi="Arial" w:cs="Arial"/>
        </w:rPr>
        <w:t>5</w:t>
      </w:r>
      <w:r w:rsidRPr="00274CCC">
        <w:rPr>
          <w:rFonts w:ascii="Arial" w:hAnsi="Arial" w:cs="Arial"/>
        </w:rPr>
        <w:t xml:space="preserve"> agreed one year SCR, including capital add-ons (loadings / adjustments).  For subsequent reporting in Q2 and Q3 </w:t>
      </w:r>
      <w:r>
        <w:rPr>
          <w:rFonts w:ascii="Arial" w:hAnsi="Arial" w:cs="Arial"/>
        </w:rPr>
        <w:t>202</w:t>
      </w:r>
      <w:r w:rsidR="001E28B7">
        <w:rPr>
          <w:rFonts w:ascii="Arial" w:hAnsi="Arial" w:cs="Arial"/>
        </w:rPr>
        <w:t>5</w:t>
      </w:r>
      <w:r w:rsidRPr="00274CCC">
        <w:rPr>
          <w:rFonts w:ascii="Arial" w:hAnsi="Arial" w:cs="Arial"/>
        </w:rPr>
        <w:t xml:space="preserve">, the </w:t>
      </w:r>
      <w:r>
        <w:rPr>
          <w:rFonts w:ascii="Arial" w:hAnsi="Arial" w:cs="Arial"/>
        </w:rPr>
        <w:t>202</w:t>
      </w:r>
      <w:r w:rsidR="001E28B7">
        <w:rPr>
          <w:rFonts w:ascii="Arial" w:hAnsi="Arial" w:cs="Arial"/>
        </w:rPr>
        <w:t>5</w:t>
      </w:r>
      <w:r w:rsidRPr="00274CCC">
        <w:rPr>
          <w:rFonts w:ascii="Arial" w:hAnsi="Arial" w:cs="Arial"/>
        </w:rPr>
        <w:t xml:space="preserve"> agreed one year SCR, including capital add-ons (loadings / adjustments) should still be provided</w:t>
      </w:r>
      <w:r>
        <w:rPr>
          <w:rFonts w:ascii="Arial" w:hAnsi="Arial" w:cs="Arial"/>
        </w:rPr>
        <w:t>. However, where</w:t>
      </w:r>
      <w:r w:rsidRPr="00274CCC">
        <w:rPr>
          <w:rFonts w:ascii="Arial" w:hAnsi="Arial" w:cs="Arial"/>
        </w:rPr>
        <w:t xml:space="preserve"> a subsequent updated </w:t>
      </w:r>
      <w:r>
        <w:rPr>
          <w:rFonts w:ascii="Arial" w:hAnsi="Arial" w:cs="Arial"/>
        </w:rPr>
        <w:t>202</w:t>
      </w:r>
      <w:r w:rsidR="001E28B7">
        <w:rPr>
          <w:rFonts w:ascii="Arial" w:hAnsi="Arial" w:cs="Arial"/>
        </w:rPr>
        <w:t>5</w:t>
      </w:r>
      <w:r w:rsidRPr="00274CCC">
        <w:rPr>
          <w:rFonts w:ascii="Arial" w:hAnsi="Arial" w:cs="Arial"/>
        </w:rPr>
        <w:t xml:space="preserve"> SCR, including capital add-ons (loadings / adjustments) has been agreed with Lloyd’s CPG</w:t>
      </w:r>
      <w:r w:rsidR="00E16333">
        <w:rPr>
          <w:rFonts w:ascii="Arial" w:hAnsi="Arial" w:cs="Arial"/>
        </w:rPr>
        <w:t>, this should be used</w:t>
      </w:r>
      <w:r w:rsidRPr="00274CCC">
        <w:rPr>
          <w:rFonts w:ascii="Arial" w:hAnsi="Arial" w:cs="Arial"/>
        </w:rPr>
        <w:t>.</w:t>
      </w:r>
      <w:r>
        <w:rPr>
          <w:rFonts w:ascii="Arial" w:hAnsi="Arial" w:cs="Arial"/>
        </w:rPr>
        <w:t xml:space="preserve"> For Q4 202</w:t>
      </w:r>
      <w:r w:rsidR="001E28B7">
        <w:rPr>
          <w:rFonts w:ascii="Arial" w:hAnsi="Arial" w:cs="Arial"/>
        </w:rPr>
        <w:t>5</w:t>
      </w:r>
      <w:r>
        <w:rPr>
          <w:rFonts w:ascii="Arial" w:hAnsi="Arial" w:cs="Arial"/>
        </w:rPr>
        <w:t>, if the latest agreed LCR is available for 202</w:t>
      </w:r>
      <w:r w:rsidR="001E28B7">
        <w:rPr>
          <w:rFonts w:ascii="Arial" w:hAnsi="Arial" w:cs="Arial"/>
        </w:rPr>
        <w:t>6</w:t>
      </w:r>
      <w:r>
        <w:rPr>
          <w:rFonts w:ascii="Arial" w:hAnsi="Arial" w:cs="Arial"/>
        </w:rPr>
        <w:t>, this should be used when reporting the SCR figure.</w:t>
      </w:r>
    </w:p>
    <w:p w14:paraId="126EAE38" w14:textId="77777777"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Minimum Capital Requirement (MCR)</w:t>
      </w:r>
      <w:r w:rsidR="00540AA1">
        <w:rPr>
          <w:rFonts w:ascii="Arial" w:hAnsi="Arial" w:cs="Arial"/>
        </w:rPr>
        <w:t xml:space="preserve"> (R0600)</w:t>
      </w:r>
      <w:r w:rsidRPr="00C532DC">
        <w:rPr>
          <w:rFonts w:ascii="Arial" w:hAnsi="Arial" w:cs="Arial"/>
        </w:rPr>
        <w:t>:</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Pr>
          <w:rFonts w:ascii="Arial" w:hAnsi="Arial" w:cs="Arial"/>
        </w:rPr>
        <w:t>QSR510, A24 or QSR511, A13 for non-life and life syndicates respectively.</w:t>
      </w:r>
    </w:p>
    <w:p w14:paraId="3B1E674C" w14:textId="77777777"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Excess of assets over liabilities</w:t>
      </w:r>
      <w:r w:rsidR="00540AA1">
        <w:rPr>
          <w:rFonts w:ascii="Arial" w:hAnsi="Arial" w:cs="Arial"/>
        </w:rPr>
        <w:t xml:space="preserve"> (R0700, C0060)</w:t>
      </w:r>
      <w:r w:rsidRPr="00887B22">
        <w:rPr>
          <w:rFonts w:ascii="Arial" w:hAnsi="Arial" w:cs="Arial"/>
        </w:rPr>
        <w:t>:</w:t>
      </w:r>
      <w:r>
        <w:rPr>
          <w:rFonts w:ascii="Arial" w:hAnsi="Arial" w:cs="Arial"/>
        </w:rPr>
        <w:t xml:space="preserve"> This amount should agree to the excess of assets over liabilities amount reported in QSR002, </w:t>
      </w:r>
      <w:r w:rsidR="009A1711">
        <w:rPr>
          <w:rFonts w:ascii="Arial" w:hAnsi="Arial" w:cs="Arial"/>
        </w:rPr>
        <w:t>C</w:t>
      </w:r>
      <w:r>
        <w:rPr>
          <w:rFonts w:ascii="Arial" w:hAnsi="Arial" w:cs="Arial"/>
        </w:rPr>
        <w:t>89</w:t>
      </w:r>
      <w:r w:rsidR="00540AA1">
        <w:rPr>
          <w:rFonts w:ascii="Arial" w:hAnsi="Arial" w:cs="Arial"/>
        </w:rPr>
        <w:t xml:space="preserve"> (R1000,C0010)</w:t>
      </w:r>
      <w:r>
        <w:rPr>
          <w:rFonts w:ascii="Arial" w:hAnsi="Arial" w:cs="Arial"/>
        </w:rPr>
        <w:t>.</w:t>
      </w:r>
    </w:p>
    <w:p w14:paraId="186D96FE" w14:textId="7777777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Foreseeable distributions</w:t>
      </w:r>
      <w:r w:rsidR="00540AA1">
        <w:rPr>
          <w:rFonts w:ascii="Arial" w:hAnsi="Arial" w:cs="Arial"/>
        </w:rPr>
        <w:t xml:space="preserve"> (R0720, C0060)</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w:t>
      </w:r>
      <w:r>
        <w:rPr>
          <w:rFonts w:ascii="Arial" w:hAnsi="Arial" w:cs="Arial"/>
        </w:rPr>
        <w:lastRenderedPageBreak/>
        <w:t xml:space="preserve">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AD7B00">
        <w:rPr>
          <w:rFonts w:ascii="Arial" w:hAnsi="Arial" w:cs="Arial"/>
        </w:rPr>
        <w:t xml:space="preserve">  </w:t>
      </w:r>
      <w:bookmarkStart w:id="1955" w:name="_Hlk58925078"/>
      <w:r w:rsidR="00AD7B00">
        <w:rPr>
          <w:rFonts w:ascii="Arial" w:hAnsi="Arial" w:cs="Arial"/>
        </w:rPr>
        <w:t>However</w:t>
      </w:r>
      <w:r w:rsidR="00892664">
        <w:rPr>
          <w:rFonts w:ascii="Arial" w:hAnsi="Arial" w:cs="Arial"/>
        </w:rPr>
        <w:t>,</w:t>
      </w:r>
      <w:r w:rsidR="00AD7B00">
        <w:rPr>
          <w:rFonts w:ascii="Arial" w:hAnsi="Arial" w:cs="Arial"/>
        </w:rPr>
        <w:t xml:space="preserve"> if the net amount calculated for foreseeable distributions is negative, please enter zero.</w:t>
      </w:r>
      <w:bookmarkEnd w:id="1955"/>
    </w:p>
    <w:p w14:paraId="3F465395"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Pr>
          <w:rFonts w:ascii="Arial" w:hAnsi="Arial" w:cs="Arial"/>
        </w:rPr>
        <w:t>Other basic own fund items</w:t>
      </w:r>
      <w:r w:rsidR="00540AA1">
        <w:rPr>
          <w:rFonts w:ascii="Arial" w:hAnsi="Arial" w:cs="Arial"/>
        </w:rPr>
        <w:t xml:space="preserve"> (R0730, C0060)</w:t>
      </w:r>
      <w:r>
        <w:rPr>
          <w:rFonts w:ascii="Arial" w:hAnsi="Arial" w:cs="Arial"/>
        </w:rPr>
        <w:t>: This is the sum of “members’ contributions (Funds in syndicate – FIS) (line 1)” and “other items approved by supervisory authority as basic own funds not specified above (line 3)”.</w:t>
      </w:r>
    </w:p>
    <w:p w14:paraId="080155A5" w14:textId="77777777" w:rsidR="004A1C88" w:rsidRDefault="004A1C88" w:rsidP="00C532DC">
      <w:pPr>
        <w:spacing w:after="120" w:line="280" w:lineRule="atLeast"/>
        <w:rPr>
          <w:rFonts w:ascii="Arial" w:hAnsi="Arial" w:cs="Arial"/>
        </w:rPr>
      </w:pPr>
      <w:r w:rsidRPr="00247C18">
        <w:rPr>
          <w:rFonts w:ascii="Arial" w:hAnsi="Arial" w:cs="Arial"/>
          <w:b/>
        </w:rPr>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Pr>
          <w:rFonts w:ascii="Arial" w:hAnsi="Arial" w:cs="Arial"/>
        </w:rPr>
        <w:t>Restricted own fund items due to ring fencing</w:t>
      </w:r>
      <w:r w:rsidR="00540AA1">
        <w:rPr>
          <w:rFonts w:ascii="Arial" w:hAnsi="Arial" w:cs="Arial"/>
        </w:rPr>
        <w:t xml:space="preserve"> (R0740, C0060)</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363F5E9A" w14:textId="218410DE"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sidR="00540AA1">
        <w:rPr>
          <w:rFonts w:ascii="Arial" w:hAnsi="Arial" w:cs="Arial"/>
        </w:rPr>
        <w:t xml:space="preserve"> (R0770, C0060)</w:t>
      </w:r>
      <w:r w:rsidRPr="00247C18">
        <w:rPr>
          <w:rFonts w:ascii="Arial" w:hAnsi="Arial" w:cs="Arial"/>
        </w:rPr>
        <w:t>/non-life</w:t>
      </w:r>
      <w:r w:rsidR="00540AA1">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1956" w:name="_Hlk56412865"/>
      <w:r>
        <w:rPr>
          <w:rFonts w:ascii="Arial" w:hAnsi="Arial" w:cs="Arial"/>
        </w:rPr>
        <w:t xml:space="preserve">Only one line is to be completed </w:t>
      </w:r>
      <w:r w:rsidR="000F6373">
        <w:rPr>
          <w:rFonts w:ascii="Arial" w:hAnsi="Arial" w:cs="Arial"/>
        </w:rPr>
        <w:t>i.e.</w:t>
      </w:r>
      <w:r>
        <w:rPr>
          <w:rFonts w:ascii="Arial" w:hAnsi="Arial" w:cs="Arial"/>
        </w:rPr>
        <w:t xml:space="preserve"> either line 18 or line 19 for life and non-life respectively. </w:t>
      </w:r>
      <w:bookmarkEnd w:id="1956"/>
    </w:p>
    <w:p w14:paraId="381D149C"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 xml:space="preserve">wing is the definition of EPIFP split between incepted and </w:t>
      </w:r>
      <w:proofErr w:type="spellStart"/>
      <w:r w:rsidRPr="000F7AF9">
        <w:rPr>
          <w:rFonts w:ascii="Arial" w:hAnsi="Arial" w:cs="Arial"/>
        </w:rPr>
        <w:t>unincepted</w:t>
      </w:r>
      <w:proofErr w:type="spellEnd"/>
      <w:r w:rsidRPr="000F7AF9">
        <w:rPr>
          <w:rFonts w:ascii="Arial" w:hAnsi="Arial" w:cs="Arial"/>
        </w:rPr>
        <w:t xml:space="preserve"> business:</w:t>
      </w:r>
    </w:p>
    <w:p w14:paraId="4EAC7645" w14:textId="77777777" w:rsidR="004A1C88" w:rsidRPr="008E0EA2" w:rsidRDefault="004A1C88" w:rsidP="00892664">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4942077D" w14:textId="77777777" w:rsidR="004A1C88" w:rsidRDefault="004A1C88" w:rsidP="00887B22">
      <w:pPr>
        <w:pStyle w:val="ListBullet"/>
        <w:spacing w:after="120" w:line="280" w:lineRule="atLeast"/>
        <w:rPr>
          <w:rFonts w:cs="Arial"/>
          <w:sz w:val="20"/>
        </w:rPr>
      </w:pPr>
      <w:r w:rsidRPr="004A175E">
        <w:rPr>
          <w:rFonts w:cs="Arial"/>
          <w:b/>
          <w:sz w:val="20"/>
        </w:rPr>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052618C3" w14:textId="77777777" w:rsidR="00B44EC0" w:rsidRDefault="00B44EC0" w:rsidP="00B44EC0">
      <w:pPr>
        <w:spacing w:after="120" w:line="280" w:lineRule="atLeast"/>
        <w:rPr>
          <w:rFonts w:ascii="Arial" w:hAnsi="Arial" w:cs="Arial"/>
        </w:rPr>
      </w:pPr>
      <w:r>
        <w:rPr>
          <w:rFonts w:ascii="Arial" w:hAnsi="Arial" w:cs="Arial"/>
        </w:rPr>
        <w:t>The calculation of EPIFP is to be reported:</w:t>
      </w:r>
    </w:p>
    <w:p w14:paraId="219095DB"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42D1C20F"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040E8894" w14:textId="77777777" w:rsidR="00B44EC0" w:rsidRPr="00363925" w:rsidRDefault="00B44EC0" w:rsidP="006C5EE3">
      <w:pPr>
        <w:pStyle w:val="ListParagraph"/>
        <w:numPr>
          <w:ilvl w:val="0"/>
          <w:numId w:val="5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3C9A420C" w14:textId="77777777" w:rsidR="006A2ED4" w:rsidRDefault="006A2ED4" w:rsidP="001603F1">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04E4AD9D" w14:textId="77777777" w:rsidR="004A1C88" w:rsidRDefault="004A1C88" w:rsidP="001603F1">
      <w:pPr>
        <w:spacing w:after="120" w:line="280" w:lineRule="atLeast"/>
        <w:ind w:firstLine="357"/>
        <w:rPr>
          <w:rFonts w:ascii="Arial" w:hAnsi="Arial" w:cs="Arial"/>
        </w:rPr>
      </w:pPr>
      <w:r w:rsidRPr="0023406B">
        <w:rPr>
          <w:rFonts w:ascii="Arial" w:hAnsi="Arial" w:cs="Arial"/>
        </w:rPr>
        <w:t>All the amounts should be determined on a Solvency II basis.</w:t>
      </w:r>
    </w:p>
    <w:p w14:paraId="53E51F0D" w14:textId="77777777" w:rsidR="00A4449F" w:rsidRDefault="006F12F5" w:rsidP="00285149">
      <w:pPr>
        <w:spacing w:after="120" w:line="280" w:lineRule="atLeast"/>
        <w:rPr>
          <w:rFonts w:ascii="Arial" w:hAnsi="Arial" w:cs="Arial"/>
          <w:b/>
          <w:sz w:val="22"/>
          <w:szCs w:val="22"/>
        </w:rPr>
      </w:pPr>
      <w:r>
        <w:rPr>
          <w:rFonts w:ascii="Arial" w:hAnsi="Arial" w:cs="Arial"/>
        </w:rPr>
        <w:t xml:space="preserve"> </w:t>
      </w:r>
    </w:p>
    <w:p w14:paraId="17E50659" w14:textId="77777777" w:rsidR="0005280D"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w:t>
      </w:r>
      <w:r w:rsidR="006C2744">
        <w:rPr>
          <w:rFonts w:ascii="Arial" w:hAnsi="Arial" w:cs="Arial"/>
          <w:b/>
          <w:sz w:val="22"/>
          <w:szCs w:val="22"/>
        </w:rPr>
        <w:t>8</w:t>
      </w:r>
      <w:r w:rsidRPr="00285149">
        <w:rPr>
          <w:rFonts w:ascii="Arial" w:hAnsi="Arial" w:cs="Arial"/>
          <w:b/>
          <w:sz w:val="22"/>
          <w:szCs w:val="22"/>
        </w:rPr>
        <w:tab/>
        <w:t>Q</w:t>
      </w:r>
      <w:bookmarkStart w:id="1957" w:name="_Toc350154792"/>
      <w:bookmarkStart w:id="1958" w:name="_Toc351994511"/>
      <w:bookmarkStart w:id="1959" w:name="_Toc351994734"/>
      <w:bookmarkStart w:id="1960" w:name="_Toc351996048"/>
      <w:bookmarkStart w:id="1961" w:name="_Toc346004453"/>
      <w:bookmarkStart w:id="1962" w:name="_Toc346092669"/>
      <w:bookmarkStart w:id="1963" w:name="_Toc346099759"/>
      <w:bookmarkStart w:id="1964" w:name="_Toc346099939"/>
      <w:bookmarkStart w:id="1965" w:name="_Toc346100063"/>
      <w:bookmarkStart w:id="1966" w:name="_Toc346100166"/>
      <w:bookmarkStart w:id="1967" w:name="_Toc346100269"/>
      <w:bookmarkStart w:id="1968" w:name="_Toc346118576"/>
      <w:bookmarkStart w:id="1969" w:name="_Toc346193852"/>
      <w:bookmarkStart w:id="1970" w:name="_Toc346269067"/>
      <w:bookmarkStart w:id="1971" w:name="_Toc346528058"/>
      <w:bookmarkStart w:id="1972" w:name="_Toc346541186"/>
      <w:bookmarkStart w:id="1973" w:name="_Toc346628696"/>
      <w:bookmarkStart w:id="1974" w:name="_Toc346635603"/>
      <w:bookmarkStart w:id="1975" w:name="_Toc346705529"/>
      <w:bookmarkStart w:id="1976" w:name="_Toc346801711"/>
      <w:bookmarkStart w:id="1977" w:name="_Toc346801838"/>
      <w:bookmarkStart w:id="1978" w:name="_Toc346801963"/>
      <w:bookmarkStart w:id="1979" w:name="_Toc346869428"/>
      <w:bookmarkStart w:id="1980" w:name="_Toc346886807"/>
      <w:bookmarkStart w:id="1981" w:name="_Toc346893472"/>
      <w:bookmarkStart w:id="1982" w:name="_Toc346896601"/>
      <w:bookmarkStart w:id="1983" w:name="_Toc347127768"/>
      <w:bookmarkStart w:id="1984" w:name="_Toc347131461"/>
      <w:bookmarkStart w:id="1985" w:name="_Toc347133555"/>
      <w:bookmarkStart w:id="1986" w:name="_Toc347135324"/>
      <w:bookmarkStart w:id="1987" w:name="_Toc347138622"/>
      <w:bookmarkStart w:id="1988" w:name="_Toc347152464"/>
      <w:bookmarkStart w:id="1989" w:name="_Toc347152597"/>
      <w:bookmarkStart w:id="1990" w:name="_Toc347152952"/>
      <w:bookmarkStart w:id="1991" w:name="_Toc347214397"/>
      <w:bookmarkStart w:id="1992" w:name="_Toc347303082"/>
      <w:bookmarkStart w:id="1993" w:name="_Toc347387100"/>
      <w:bookmarkStart w:id="1994" w:name="_Toc347477341"/>
      <w:bookmarkStart w:id="1995" w:name="_Toc347492937"/>
      <w:bookmarkStart w:id="1996" w:name="_Toc347494907"/>
      <w:bookmarkStart w:id="1997" w:name="_Toc347501126"/>
      <w:bookmarkStart w:id="1998" w:name="_Toc346004457"/>
      <w:bookmarkStart w:id="1999" w:name="_Toc346092673"/>
      <w:bookmarkStart w:id="2000" w:name="_Toc346099763"/>
      <w:bookmarkStart w:id="2001" w:name="_Toc346099943"/>
      <w:bookmarkStart w:id="2002" w:name="_Toc346100067"/>
      <w:bookmarkStart w:id="2003" w:name="_Toc346100170"/>
      <w:bookmarkStart w:id="2004" w:name="_Toc346100273"/>
      <w:bookmarkStart w:id="2005" w:name="_Toc346118580"/>
      <w:bookmarkStart w:id="2006" w:name="_Toc346193856"/>
      <w:bookmarkStart w:id="2007" w:name="_Toc346269071"/>
      <w:bookmarkStart w:id="2008" w:name="_Toc346528062"/>
      <w:bookmarkStart w:id="2009" w:name="_Toc346541190"/>
      <w:bookmarkStart w:id="2010" w:name="_Toc346628700"/>
      <w:bookmarkStart w:id="2011" w:name="_Toc346635607"/>
      <w:bookmarkStart w:id="2012" w:name="_Toc346705533"/>
      <w:bookmarkStart w:id="2013" w:name="_Toc346801715"/>
      <w:bookmarkStart w:id="2014" w:name="_Toc346801842"/>
      <w:bookmarkStart w:id="2015" w:name="_Toc346801967"/>
      <w:bookmarkStart w:id="2016" w:name="_Toc346869432"/>
      <w:bookmarkStart w:id="2017" w:name="_Toc346886811"/>
      <w:bookmarkStart w:id="2018" w:name="_Toc346893476"/>
      <w:bookmarkStart w:id="2019" w:name="_Toc346896605"/>
      <w:bookmarkStart w:id="2020" w:name="_Toc347127772"/>
      <w:bookmarkStart w:id="2021" w:name="_Toc347131465"/>
      <w:bookmarkStart w:id="2022" w:name="_Toc347133559"/>
      <w:bookmarkStart w:id="2023" w:name="_Toc347135328"/>
      <w:bookmarkStart w:id="2024" w:name="_Toc347138626"/>
      <w:bookmarkStart w:id="2025" w:name="_Toc347152468"/>
      <w:bookmarkStart w:id="2026" w:name="_Toc347152601"/>
      <w:bookmarkStart w:id="2027" w:name="_Toc347152956"/>
      <w:bookmarkStart w:id="2028" w:name="_Toc347214401"/>
      <w:bookmarkStart w:id="2029" w:name="_Toc347303086"/>
      <w:bookmarkStart w:id="2030" w:name="_Toc347387104"/>
      <w:bookmarkStart w:id="2031" w:name="_Toc347477345"/>
      <w:bookmarkStart w:id="2032" w:name="_Toc347492941"/>
      <w:bookmarkStart w:id="2033" w:name="_Toc347494911"/>
      <w:bookmarkStart w:id="2034" w:name="_Toc347501130"/>
      <w:bookmarkStart w:id="2035" w:name="_Toc343003016"/>
      <w:bookmarkStart w:id="2036" w:name="_Toc343006270"/>
      <w:bookmarkStart w:id="2037" w:name="_Toc343006556"/>
      <w:bookmarkStart w:id="2038" w:name="_Toc343007419"/>
      <w:bookmarkStart w:id="2039" w:name="_Toc343172186"/>
      <w:bookmarkStart w:id="2040" w:name="_Toc343172368"/>
      <w:bookmarkStart w:id="2041" w:name="_Toc343172529"/>
      <w:bookmarkStart w:id="2042" w:name="_Toc343178418"/>
      <w:bookmarkStart w:id="2043" w:name="_Toc343181426"/>
      <w:bookmarkStart w:id="2044" w:name="_Toc343181673"/>
      <w:bookmarkStart w:id="2045" w:name="_Toc343261716"/>
      <w:bookmarkStart w:id="2046" w:name="_Toc343261874"/>
      <w:bookmarkStart w:id="2047" w:name="_Toc343262032"/>
      <w:bookmarkStart w:id="2048" w:name="_Toc343262187"/>
      <w:bookmarkStart w:id="2049" w:name="_Toc343262342"/>
      <w:bookmarkStart w:id="2050" w:name="_Toc343262496"/>
      <w:bookmarkStart w:id="2051" w:name="_Toc343262639"/>
      <w:bookmarkStart w:id="2052" w:name="_Toc343262959"/>
      <w:bookmarkStart w:id="2053" w:name="_Toc343263677"/>
      <w:bookmarkStart w:id="2054" w:name="_Toc343263801"/>
      <w:bookmarkStart w:id="2055" w:name="_Toc343263924"/>
      <w:bookmarkStart w:id="2056" w:name="_Toc343264061"/>
      <w:bookmarkStart w:id="2057" w:name="_Toc343264352"/>
      <w:bookmarkStart w:id="2058" w:name="_Toc343266106"/>
      <w:bookmarkStart w:id="2059" w:name="_Toc343267245"/>
      <w:bookmarkStart w:id="2060" w:name="_Toc346004459"/>
      <w:bookmarkStart w:id="2061" w:name="_Toc346092675"/>
      <w:bookmarkStart w:id="2062" w:name="_Toc346099765"/>
      <w:bookmarkStart w:id="2063" w:name="_Toc346099945"/>
      <w:bookmarkStart w:id="2064" w:name="_Toc346100069"/>
      <w:bookmarkStart w:id="2065" w:name="_Toc346100172"/>
      <w:bookmarkStart w:id="2066" w:name="_Toc346100275"/>
      <w:bookmarkStart w:id="2067" w:name="_Toc346118582"/>
      <w:bookmarkStart w:id="2068" w:name="_Toc346193858"/>
      <w:bookmarkStart w:id="2069" w:name="_Toc346269073"/>
      <w:bookmarkStart w:id="2070" w:name="_Toc346528064"/>
      <w:bookmarkStart w:id="2071" w:name="_Toc346541192"/>
      <w:bookmarkStart w:id="2072" w:name="_Toc346628702"/>
      <w:bookmarkStart w:id="2073" w:name="_Toc346635609"/>
      <w:bookmarkStart w:id="2074" w:name="_Toc346705535"/>
      <w:bookmarkStart w:id="2075" w:name="_Toc346801717"/>
      <w:bookmarkStart w:id="2076" w:name="_Toc346801844"/>
      <w:bookmarkStart w:id="2077" w:name="_Toc346801969"/>
      <w:bookmarkStart w:id="2078" w:name="_Toc346869434"/>
      <w:bookmarkStart w:id="2079" w:name="_Toc346886813"/>
      <w:bookmarkStart w:id="2080" w:name="_Toc346893478"/>
      <w:bookmarkStart w:id="2081" w:name="_Toc346896607"/>
      <w:bookmarkStart w:id="2082" w:name="_Toc347127774"/>
      <w:bookmarkStart w:id="2083" w:name="_Toc347131467"/>
      <w:bookmarkStart w:id="2084" w:name="_Toc347133561"/>
      <w:bookmarkStart w:id="2085" w:name="_Toc347135330"/>
      <w:bookmarkStart w:id="2086" w:name="_Toc347138628"/>
      <w:bookmarkStart w:id="2087" w:name="_Toc347152470"/>
      <w:bookmarkStart w:id="2088" w:name="_Toc347152603"/>
      <w:bookmarkStart w:id="2089" w:name="_Toc347152958"/>
      <w:bookmarkStart w:id="2090" w:name="_Toc347214403"/>
      <w:bookmarkStart w:id="2091" w:name="_Toc347303088"/>
      <w:bookmarkStart w:id="2092" w:name="_Toc347387106"/>
      <w:bookmarkStart w:id="2093" w:name="_Toc347477347"/>
      <w:bookmarkStart w:id="2094" w:name="_Toc347492943"/>
      <w:bookmarkStart w:id="2095" w:name="_Toc347494913"/>
      <w:bookmarkStart w:id="2096" w:name="_Toc347501132"/>
      <w:bookmarkStart w:id="2097" w:name="_Toc346004460"/>
      <w:bookmarkStart w:id="2098" w:name="_Toc346092676"/>
      <w:bookmarkStart w:id="2099" w:name="_Toc346099766"/>
      <w:bookmarkStart w:id="2100" w:name="_Toc346099946"/>
      <w:bookmarkStart w:id="2101" w:name="_Toc346100070"/>
      <w:bookmarkStart w:id="2102" w:name="_Toc346100173"/>
      <w:bookmarkStart w:id="2103" w:name="_Toc346100276"/>
      <w:bookmarkStart w:id="2104" w:name="_Toc346118583"/>
      <w:bookmarkStart w:id="2105" w:name="_Toc346193859"/>
      <w:bookmarkStart w:id="2106" w:name="_Toc346269074"/>
      <w:bookmarkStart w:id="2107" w:name="_Toc346528065"/>
      <w:bookmarkStart w:id="2108" w:name="_Toc346541193"/>
      <w:bookmarkStart w:id="2109" w:name="_Toc346628703"/>
      <w:bookmarkStart w:id="2110" w:name="_Toc346635610"/>
      <w:bookmarkStart w:id="2111" w:name="_Toc346705536"/>
      <w:bookmarkStart w:id="2112" w:name="_Toc346801718"/>
      <w:bookmarkStart w:id="2113" w:name="_Toc346801845"/>
      <w:bookmarkStart w:id="2114" w:name="_Toc346801970"/>
      <w:bookmarkStart w:id="2115" w:name="_Toc346869435"/>
      <w:bookmarkStart w:id="2116" w:name="_Toc346886814"/>
      <w:bookmarkStart w:id="2117" w:name="_Toc346893479"/>
      <w:bookmarkStart w:id="2118" w:name="_Toc346896608"/>
      <w:bookmarkStart w:id="2119" w:name="_Toc347127775"/>
      <w:bookmarkStart w:id="2120" w:name="_Toc347131468"/>
      <w:bookmarkStart w:id="2121" w:name="_Toc347133562"/>
      <w:bookmarkStart w:id="2122" w:name="_Toc347135331"/>
      <w:bookmarkStart w:id="2123" w:name="_Toc347138629"/>
      <w:bookmarkStart w:id="2124" w:name="_Toc347152471"/>
      <w:bookmarkStart w:id="2125" w:name="_Toc347152604"/>
      <w:bookmarkStart w:id="2126" w:name="_Toc347152959"/>
      <w:bookmarkStart w:id="2127" w:name="_Toc347214404"/>
      <w:bookmarkStart w:id="2128" w:name="_Toc347303089"/>
      <w:bookmarkStart w:id="2129" w:name="_Toc347387107"/>
      <w:bookmarkStart w:id="2130" w:name="_Toc347477348"/>
      <w:bookmarkStart w:id="2131" w:name="_Toc347492944"/>
      <w:bookmarkStart w:id="2132" w:name="_Toc347494914"/>
      <w:bookmarkStart w:id="2133" w:name="_Toc347501133"/>
      <w:bookmarkStart w:id="2134" w:name="_Toc346004462"/>
      <w:bookmarkStart w:id="2135" w:name="_Toc346092678"/>
      <w:bookmarkStart w:id="2136" w:name="_Toc346099768"/>
      <w:bookmarkStart w:id="2137" w:name="_Toc346099948"/>
      <w:bookmarkStart w:id="2138" w:name="_Toc346100072"/>
      <w:bookmarkStart w:id="2139" w:name="_Toc346100175"/>
      <w:bookmarkStart w:id="2140" w:name="_Toc346100278"/>
      <w:bookmarkStart w:id="2141" w:name="_Toc346118585"/>
      <w:bookmarkStart w:id="2142" w:name="_Toc346193861"/>
      <w:bookmarkStart w:id="2143" w:name="_Toc346269076"/>
      <w:bookmarkStart w:id="2144" w:name="_Toc346528067"/>
      <w:bookmarkStart w:id="2145" w:name="_Toc346541195"/>
      <w:bookmarkStart w:id="2146" w:name="_Toc346628705"/>
      <w:bookmarkStart w:id="2147" w:name="_Toc346635612"/>
      <w:bookmarkStart w:id="2148" w:name="_Toc346705538"/>
      <w:bookmarkStart w:id="2149" w:name="_Toc346801720"/>
      <w:bookmarkStart w:id="2150" w:name="_Toc346801847"/>
      <w:bookmarkStart w:id="2151" w:name="_Toc346801972"/>
      <w:bookmarkStart w:id="2152" w:name="_Toc346869437"/>
      <w:bookmarkStart w:id="2153" w:name="_Toc346886816"/>
      <w:bookmarkStart w:id="2154" w:name="_Toc346893481"/>
      <w:bookmarkStart w:id="2155" w:name="_Toc346896610"/>
      <w:bookmarkStart w:id="2156" w:name="_Toc347127777"/>
      <w:bookmarkStart w:id="2157" w:name="_Toc347131470"/>
      <w:bookmarkStart w:id="2158" w:name="_Toc347133564"/>
      <w:bookmarkStart w:id="2159" w:name="_Toc347135333"/>
      <w:bookmarkStart w:id="2160" w:name="_Toc347138631"/>
      <w:bookmarkStart w:id="2161" w:name="_Toc347152473"/>
      <w:bookmarkStart w:id="2162" w:name="_Toc347152606"/>
      <w:bookmarkStart w:id="2163" w:name="_Toc347152961"/>
      <w:bookmarkStart w:id="2164" w:name="_Toc347214406"/>
      <w:bookmarkStart w:id="2165" w:name="_Toc347303091"/>
      <w:bookmarkStart w:id="2166" w:name="_Toc347387109"/>
      <w:bookmarkStart w:id="2167" w:name="_Toc347477350"/>
      <w:bookmarkStart w:id="2168" w:name="_Toc347492946"/>
      <w:bookmarkStart w:id="2169" w:name="_Toc347494916"/>
      <w:bookmarkStart w:id="2170" w:name="_Toc347501135"/>
      <w:bookmarkStart w:id="2171" w:name="_Toc346004464"/>
      <w:bookmarkStart w:id="2172" w:name="_Toc346092680"/>
      <w:bookmarkStart w:id="2173" w:name="_Toc346099770"/>
      <w:bookmarkStart w:id="2174" w:name="_Toc346099950"/>
      <w:bookmarkStart w:id="2175" w:name="_Toc346100074"/>
      <w:bookmarkStart w:id="2176" w:name="_Toc346100177"/>
      <w:bookmarkStart w:id="2177" w:name="_Toc346100280"/>
      <w:bookmarkStart w:id="2178" w:name="_Toc346118587"/>
      <w:bookmarkStart w:id="2179" w:name="_Toc346193863"/>
      <w:bookmarkStart w:id="2180" w:name="_Toc346269078"/>
      <w:bookmarkStart w:id="2181" w:name="_Toc346528069"/>
      <w:bookmarkStart w:id="2182" w:name="_Toc346541197"/>
      <w:bookmarkStart w:id="2183" w:name="_Toc346628707"/>
      <w:bookmarkStart w:id="2184" w:name="_Toc346635614"/>
      <w:bookmarkStart w:id="2185" w:name="_Toc346705540"/>
      <w:bookmarkStart w:id="2186" w:name="_Toc346801722"/>
      <w:bookmarkStart w:id="2187" w:name="_Toc346801849"/>
      <w:bookmarkStart w:id="2188" w:name="_Toc346801974"/>
      <w:bookmarkStart w:id="2189" w:name="_Toc346869439"/>
      <w:bookmarkStart w:id="2190" w:name="_Toc346886818"/>
      <w:bookmarkStart w:id="2191" w:name="_Toc346893483"/>
      <w:bookmarkStart w:id="2192" w:name="_Toc346896612"/>
      <w:bookmarkStart w:id="2193" w:name="_Toc347127779"/>
      <w:bookmarkStart w:id="2194" w:name="_Toc347131472"/>
      <w:bookmarkStart w:id="2195" w:name="_Toc347133566"/>
      <w:bookmarkStart w:id="2196" w:name="_Toc347135335"/>
      <w:bookmarkStart w:id="2197" w:name="_Toc347138633"/>
      <w:bookmarkStart w:id="2198" w:name="_Toc347152475"/>
      <w:bookmarkStart w:id="2199" w:name="_Toc347152608"/>
      <w:bookmarkStart w:id="2200" w:name="_Toc347152963"/>
      <w:bookmarkStart w:id="2201" w:name="_Toc347214408"/>
      <w:bookmarkStart w:id="2202" w:name="_Toc347303093"/>
      <w:bookmarkStart w:id="2203" w:name="_Toc347387111"/>
      <w:bookmarkStart w:id="2204" w:name="_Toc347477352"/>
      <w:bookmarkStart w:id="2205" w:name="_Toc347492948"/>
      <w:bookmarkStart w:id="2206" w:name="_Toc347494918"/>
      <w:bookmarkStart w:id="2207" w:name="_Toc347501137"/>
      <w:bookmarkStart w:id="2208" w:name="_Toc351994519"/>
      <w:bookmarkStart w:id="2209" w:name="_Toc351994742"/>
      <w:bookmarkStart w:id="2210" w:name="_Toc351996056"/>
      <w:bookmarkStart w:id="2211" w:name="_Toc351994520"/>
      <w:bookmarkStart w:id="2212" w:name="_Toc351994743"/>
      <w:bookmarkStart w:id="2213" w:name="_Toc351996057"/>
      <w:bookmarkStart w:id="2214" w:name="_Toc346004467"/>
      <w:bookmarkStart w:id="2215" w:name="_Toc346092683"/>
      <w:bookmarkStart w:id="2216" w:name="_Toc346099773"/>
      <w:bookmarkStart w:id="2217" w:name="_Toc346099953"/>
      <w:bookmarkStart w:id="2218" w:name="_Toc346100077"/>
      <w:bookmarkStart w:id="2219" w:name="_Toc346100180"/>
      <w:bookmarkStart w:id="2220" w:name="_Toc346100283"/>
      <w:bookmarkStart w:id="2221" w:name="_Toc346118590"/>
      <w:bookmarkStart w:id="2222" w:name="_Toc346193866"/>
      <w:bookmarkStart w:id="2223" w:name="_Toc346269081"/>
      <w:bookmarkStart w:id="2224" w:name="_Toc346528072"/>
      <w:bookmarkStart w:id="2225" w:name="_Toc346541200"/>
      <w:bookmarkStart w:id="2226" w:name="_Toc346628710"/>
      <w:bookmarkStart w:id="2227" w:name="_Toc346635617"/>
      <w:bookmarkStart w:id="2228" w:name="_Toc346705543"/>
      <w:bookmarkStart w:id="2229" w:name="_Toc346801725"/>
      <w:bookmarkStart w:id="2230" w:name="_Toc346801852"/>
      <w:bookmarkStart w:id="2231" w:name="_Toc346801977"/>
      <w:bookmarkStart w:id="2232" w:name="_Toc346869442"/>
      <w:bookmarkStart w:id="2233" w:name="_Toc346886821"/>
      <w:bookmarkStart w:id="2234" w:name="_Toc346893486"/>
      <w:bookmarkStart w:id="2235" w:name="_Toc346896615"/>
      <w:bookmarkStart w:id="2236" w:name="_Toc347127782"/>
      <w:bookmarkStart w:id="2237" w:name="_Toc347131475"/>
      <w:bookmarkStart w:id="2238" w:name="_Toc347133569"/>
      <w:bookmarkStart w:id="2239" w:name="_Toc347135338"/>
      <w:bookmarkStart w:id="2240" w:name="_Toc347138636"/>
      <w:bookmarkStart w:id="2241" w:name="_Toc347152478"/>
      <w:bookmarkStart w:id="2242" w:name="_Toc347152611"/>
      <w:bookmarkStart w:id="2243" w:name="_Toc347152966"/>
      <w:bookmarkStart w:id="2244" w:name="_Toc347214411"/>
      <w:bookmarkStart w:id="2245" w:name="_Toc347303096"/>
      <w:bookmarkStart w:id="2246" w:name="_Toc347387114"/>
      <w:bookmarkStart w:id="2247" w:name="_Toc347477355"/>
      <w:bookmarkStart w:id="2248" w:name="_Toc347492951"/>
      <w:bookmarkStart w:id="2249" w:name="_Toc347494921"/>
      <w:bookmarkStart w:id="2250" w:name="_Toc347501140"/>
      <w:bookmarkStart w:id="2251" w:name="_Toc346004470"/>
      <w:bookmarkStart w:id="2252" w:name="_Toc346092686"/>
      <w:bookmarkStart w:id="2253" w:name="_Toc346099776"/>
      <w:bookmarkStart w:id="2254" w:name="_Toc346099956"/>
      <w:bookmarkStart w:id="2255" w:name="_Toc346100080"/>
      <w:bookmarkStart w:id="2256" w:name="_Toc346100183"/>
      <w:bookmarkStart w:id="2257" w:name="_Toc346100286"/>
      <w:bookmarkStart w:id="2258" w:name="_Toc346118593"/>
      <w:bookmarkStart w:id="2259" w:name="_Toc346193869"/>
      <w:bookmarkStart w:id="2260" w:name="_Toc346269084"/>
      <w:bookmarkStart w:id="2261" w:name="_Toc346528075"/>
      <w:bookmarkStart w:id="2262" w:name="_Toc346541203"/>
      <w:bookmarkStart w:id="2263" w:name="_Toc346628713"/>
      <w:bookmarkStart w:id="2264" w:name="_Toc346635620"/>
      <w:bookmarkStart w:id="2265" w:name="_Toc346705546"/>
      <w:bookmarkStart w:id="2266" w:name="_Toc346801728"/>
      <w:bookmarkStart w:id="2267" w:name="_Toc346801855"/>
      <w:bookmarkStart w:id="2268" w:name="_Toc346801980"/>
      <w:bookmarkStart w:id="2269" w:name="_Toc346869445"/>
      <w:bookmarkStart w:id="2270" w:name="_Toc346886824"/>
      <w:bookmarkStart w:id="2271" w:name="_Toc346893489"/>
      <w:bookmarkStart w:id="2272" w:name="_Toc346896618"/>
      <w:bookmarkStart w:id="2273" w:name="_Toc347127785"/>
      <w:bookmarkStart w:id="2274" w:name="_Toc347131478"/>
      <w:bookmarkStart w:id="2275" w:name="_Toc347133572"/>
      <w:bookmarkStart w:id="2276" w:name="_Toc347135341"/>
      <w:bookmarkStart w:id="2277" w:name="_Toc347138639"/>
      <w:bookmarkStart w:id="2278" w:name="_Toc347152481"/>
      <w:bookmarkStart w:id="2279" w:name="_Toc347152614"/>
      <w:bookmarkStart w:id="2280" w:name="_Toc347152969"/>
      <w:bookmarkStart w:id="2281" w:name="_Toc347214414"/>
      <w:bookmarkStart w:id="2282" w:name="_Toc347303099"/>
      <w:bookmarkStart w:id="2283" w:name="_Toc347387117"/>
      <w:bookmarkStart w:id="2284" w:name="_Toc347477358"/>
      <w:bookmarkStart w:id="2285" w:name="_Toc347492954"/>
      <w:bookmarkStart w:id="2286" w:name="_Toc347494924"/>
      <w:bookmarkStart w:id="2287" w:name="_Toc347501143"/>
      <w:bookmarkStart w:id="2288" w:name="_Toc346004472"/>
      <w:bookmarkStart w:id="2289" w:name="_Toc346092688"/>
      <w:bookmarkStart w:id="2290" w:name="_Toc346099778"/>
      <w:bookmarkStart w:id="2291" w:name="_Toc346099958"/>
      <w:bookmarkStart w:id="2292" w:name="_Toc346100082"/>
      <w:bookmarkStart w:id="2293" w:name="_Toc346100185"/>
      <w:bookmarkStart w:id="2294" w:name="_Toc346100288"/>
      <w:bookmarkStart w:id="2295" w:name="_Toc346118595"/>
      <w:bookmarkStart w:id="2296" w:name="_Toc346193871"/>
      <w:bookmarkStart w:id="2297" w:name="_Toc346269086"/>
      <w:bookmarkStart w:id="2298" w:name="_Toc346528077"/>
      <w:bookmarkStart w:id="2299" w:name="_Toc346541205"/>
      <w:bookmarkStart w:id="2300" w:name="_Toc346628715"/>
      <w:bookmarkStart w:id="2301" w:name="_Toc346635622"/>
      <w:bookmarkStart w:id="2302" w:name="_Toc346705548"/>
      <w:bookmarkStart w:id="2303" w:name="_Toc346801730"/>
      <w:bookmarkStart w:id="2304" w:name="_Toc346801857"/>
      <w:bookmarkStart w:id="2305" w:name="_Toc346801982"/>
      <w:bookmarkStart w:id="2306" w:name="_Toc346869447"/>
      <w:bookmarkStart w:id="2307" w:name="_Toc346886826"/>
      <w:bookmarkStart w:id="2308" w:name="_Toc346893491"/>
      <w:bookmarkStart w:id="2309" w:name="_Toc346896620"/>
      <w:bookmarkStart w:id="2310" w:name="_Toc347127787"/>
      <w:bookmarkStart w:id="2311" w:name="_Toc347131480"/>
      <w:bookmarkStart w:id="2312" w:name="_Toc347133574"/>
      <w:bookmarkStart w:id="2313" w:name="_Toc347135343"/>
      <w:bookmarkStart w:id="2314" w:name="_Toc347138641"/>
      <w:bookmarkStart w:id="2315" w:name="_Toc347152483"/>
      <w:bookmarkStart w:id="2316" w:name="_Toc347152616"/>
      <w:bookmarkStart w:id="2317" w:name="_Toc347152971"/>
      <w:bookmarkStart w:id="2318" w:name="_Toc347214416"/>
      <w:bookmarkStart w:id="2319" w:name="_Toc347303101"/>
      <w:bookmarkStart w:id="2320" w:name="_Toc347387119"/>
      <w:bookmarkStart w:id="2321" w:name="_Toc347477360"/>
      <w:bookmarkStart w:id="2322" w:name="_Toc347492956"/>
      <w:bookmarkStart w:id="2323" w:name="_Toc347494926"/>
      <w:bookmarkStart w:id="2324" w:name="_Toc347501145"/>
      <w:bookmarkStart w:id="2325" w:name="_Toc346004473"/>
      <w:bookmarkStart w:id="2326" w:name="_Toc346092689"/>
      <w:bookmarkStart w:id="2327" w:name="_Toc346099779"/>
      <w:bookmarkStart w:id="2328" w:name="_Toc346099959"/>
      <w:bookmarkStart w:id="2329" w:name="_Toc346100083"/>
      <w:bookmarkStart w:id="2330" w:name="_Toc346100186"/>
      <w:bookmarkStart w:id="2331" w:name="_Toc346100289"/>
      <w:bookmarkStart w:id="2332" w:name="_Toc346118596"/>
      <w:bookmarkStart w:id="2333" w:name="_Toc346193872"/>
      <w:bookmarkStart w:id="2334" w:name="_Toc346269087"/>
      <w:bookmarkStart w:id="2335" w:name="_Toc346528078"/>
      <w:bookmarkStart w:id="2336" w:name="_Toc346541206"/>
      <w:bookmarkStart w:id="2337" w:name="_Toc346628716"/>
      <w:bookmarkStart w:id="2338" w:name="_Toc346635623"/>
      <w:bookmarkStart w:id="2339" w:name="_Toc346705549"/>
      <w:bookmarkStart w:id="2340" w:name="_Toc346801731"/>
      <w:bookmarkStart w:id="2341" w:name="_Toc346801858"/>
      <w:bookmarkStart w:id="2342" w:name="_Toc346801983"/>
      <w:bookmarkStart w:id="2343" w:name="_Toc346869448"/>
      <w:bookmarkStart w:id="2344" w:name="_Toc346886827"/>
      <w:bookmarkStart w:id="2345" w:name="_Toc346893492"/>
      <w:bookmarkStart w:id="2346" w:name="_Toc346896621"/>
      <w:bookmarkStart w:id="2347" w:name="_Toc347127788"/>
      <w:bookmarkStart w:id="2348" w:name="_Toc347131481"/>
      <w:bookmarkStart w:id="2349" w:name="_Toc347133575"/>
      <w:bookmarkStart w:id="2350" w:name="_Toc347135344"/>
      <w:bookmarkStart w:id="2351" w:name="_Toc347138642"/>
      <w:bookmarkStart w:id="2352" w:name="_Toc347152484"/>
      <w:bookmarkStart w:id="2353" w:name="_Toc347152617"/>
      <w:bookmarkStart w:id="2354" w:name="_Toc347152972"/>
      <w:bookmarkStart w:id="2355" w:name="_Toc347214417"/>
      <w:bookmarkStart w:id="2356" w:name="_Toc347303102"/>
      <w:bookmarkStart w:id="2357" w:name="_Toc347387120"/>
      <w:bookmarkStart w:id="2358" w:name="_Toc347477361"/>
      <w:bookmarkStart w:id="2359" w:name="_Toc347492957"/>
      <w:bookmarkStart w:id="2360" w:name="_Toc347494927"/>
      <w:bookmarkStart w:id="2361" w:name="_Toc347501146"/>
      <w:bookmarkStart w:id="2362" w:name="_Toc346004475"/>
      <w:bookmarkStart w:id="2363" w:name="_Toc346092691"/>
      <w:bookmarkStart w:id="2364" w:name="_Toc346099781"/>
      <w:bookmarkStart w:id="2365" w:name="_Toc346099961"/>
      <w:bookmarkStart w:id="2366" w:name="_Toc346100085"/>
      <w:bookmarkStart w:id="2367" w:name="_Toc346100188"/>
      <w:bookmarkStart w:id="2368" w:name="_Toc346100291"/>
      <w:bookmarkStart w:id="2369" w:name="_Toc346118598"/>
      <w:bookmarkStart w:id="2370" w:name="_Toc346193874"/>
      <w:bookmarkStart w:id="2371" w:name="_Toc346269089"/>
      <w:bookmarkStart w:id="2372" w:name="_Toc346528080"/>
      <w:bookmarkStart w:id="2373" w:name="_Toc346541208"/>
      <w:bookmarkStart w:id="2374" w:name="_Toc346628718"/>
      <w:bookmarkStart w:id="2375" w:name="_Toc346635625"/>
      <w:bookmarkStart w:id="2376" w:name="_Toc346705551"/>
      <w:bookmarkStart w:id="2377" w:name="_Toc346801733"/>
      <w:bookmarkStart w:id="2378" w:name="_Toc346801860"/>
      <w:bookmarkStart w:id="2379" w:name="_Toc346801985"/>
      <w:bookmarkStart w:id="2380" w:name="_Toc346869450"/>
      <w:bookmarkStart w:id="2381" w:name="_Toc346886829"/>
      <w:bookmarkStart w:id="2382" w:name="_Toc346893494"/>
      <w:bookmarkStart w:id="2383" w:name="_Toc346896623"/>
      <w:bookmarkStart w:id="2384" w:name="_Toc347127790"/>
      <w:bookmarkStart w:id="2385" w:name="_Toc347131483"/>
      <w:bookmarkStart w:id="2386" w:name="_Toc347133577"/>
      <w:bookmarkStart w:id="2387" w:name="_Toc347135346"/>
      <w:bookmarkStart w:id="2388" w:name="_Toc347138644"/>
      <w:bookmarkStart w:id="2389" w:name="_Toc347152486"/>
      <w:bookmarkStart w:id="2390" w:name="_Toc347152619"/>
      <w:bookmarkStart w:id="2391" w:name="_Toc347152974"/>
      <w:bookmarkStart w:id="2392" w:name="_Toc347214419"/>
      <w:bookmarkStart w:id="2393" w:name="_Toc347303104"/>
      <w:bookmarkStart w:id="2394" w:name="_Toc347387122"/>
      <w:bookmarkStart w:id="2395" w:name="_Toc347477363"/>
      <w:bookmarkStart w:id="2396" w:name="_Toc347492959"/>
      <w:bookmarkStart w:id="2397" w:name="_Toc347494929"/>
      <w:bookmarkStart w:id="2398" w:name="_Toc347501148"/>
      <w:bookmarkStart w:id="2399" w:name="_Toc346004476"/>
      <w:bookmarkStart w:id="2400" w:name="_Toc346092692"/>
      <w:bookmarkStart w:id="2401" w:name="_Toc346099782"/>
      <w:bookmarkStart w:id="2402" w:name="_Toc346099962"/>
      <w:bookmarkStart w:id="2403" w:name="_Toc346100086"/>
      <w:bookmarkStart w:id="2404" w:name="_Toc346100189"/>
      <w:bookmarkStart w:id="2405" w:name="_Toc346100292"/>
      <w:bookmarkStart w:id="2406" w:name="_Toc346118599"/>
      <w:bookmarkStart w:id="2407" w:name="_Toc346193875"/>
      <w:bookmarkStart w:id="2408" w:name="_Toc346269090"/>
      <w:bookmarkStart w:id="2409" w:name="_Toc346528081"/>
      <w:bookmarkStart w:id="2410" w:name="_Toc346541209"/>
      <w:bookmarkStart w:id="2411" w:name="_Toc346628719"/>
      <w:bookmarkStart w:id="2412" w:name="_Toc346635626"/>
      <w:bookmarkStart w:id="2413" w:name="_Toc346705552"/>
      <w:bookmarkStart w:id="2414" w:name="_Toc346801734"/>
      <w:bookmarkStart w:id="2415" w:name="_Toc346801861"/>
      <w:bookmarkStart w:id="2416" w:name="_Toc346801986"/>
      <w:bookmarkStart w:id="2417" w:name="_Toc346869451"/>
      <w:bookmarkStart w:id="2418" w:name="_Toc346886830"/>
      <w:bookmarkStart w:id="2419" w:name="_Toc346893495"/>
      <w:bookmarkStart w:id="2420" w:name="_Toc346896624"/>
      <w:bookmarkStart w:id="2421" w:name="_Toc347127791"/>
      <w:bookmarkStart w:id="2422" w:name="_Toc347131484"/>
      <w:bookmarkStart w:id="2423" w:name="_Toc347133578"/>
      <w:bookmarkStart w:id="2424" w:name="_Toc347135347"/>
      <w:bookmarkStart w:id="2425" w:name="_Toc347138645"/>
      <w:bookmarkStart w:id="2426" w:name="_Toc347152487"/>
      <w:bookmarkStart w:id="2427" w:name="_Toc347152620"/>
      <w:bookmarkStart w:id="2428" w:name="_Toc347152975"/>
      <w:bookmarkStart w:id="2429" w:name="_Toc347214420"/>
      <w:bookmarkStart w:id="2430" w:name="_Toc347303105"/>
      <w:bookmarkStart w:id="2431" w:name="_Toc347387123"/>
      <w:bookmarkStart w:id="2432" w:name="_Toc347477364"/>
      <w:bookmarkStart w:id="2433" w:name="_Toc347492960"/>
      <w:bookmarkStart w:id="2434" w:name="_Toc347494930"/>
      <w:bookmarkStart w:id="2435" w:name="_Toc347501149"/>
      <w:bookmarkStart w:id="2436" w:name="_Toc343003036"/>
      <w:bookmarkStart w:id="2437" w:name="_Toc343006290"/>
      <w:bookmarkStart w:id="2438" w:name="_Toc343006576"/>
      <w:bookmarkStart w:id="2439" w:name="_Toc343007439"/>
      <w:bookmarkStart w:id="2440" w:name="_Toc343172206"/>
      <w:bookmarkStart w:id="2441" w:name="_Toc343172388"/>
      <w:bookmarkStart w:id="2442" w:name="_Toc343172549"/>
      <w:bookmarkStart w:id="2443" w:name="_Toc343178438"/>
      <w:bookmarkStart w:id="2444" w:name="_Toc343181446"/>
      <w:bookmarkStart w:id="2445" w:name="_Toc343181693"/>
      <w:bookmarkStart w:id="2446" w:name="_Toc343261736"/>
      <w:bookmarkStart w:id="2447" w:name="_Toc343261894"/>
      <w:bookmarkStart w:id="2448" w:name="_Toc343262052"/>
      <w:bookmarkStart w:id="2449" w:name="_Toc343262207"/>
      <w:bookmarkStart w:id="2450" w:name="_Toc343262361"/>
      <w:bookmarkStart w:id="2451" w:name="_Toc343262504"/>
      <w:bookmarkStart w:id="2452" w:name="_Toc343262646"/>
      <w:bookmarkStart w:id="2453" w:name="_Toc343262966"/>
      <w:bookmarkStart w:id="2454" w:name="_Toc343263684"/>
      <w:bookmarkStart w:id="2455" w:name="_Toc343263808"/>
      <w:bookmarkStart w:id="2456" w:name="_Toc343263931"/>
      <w:bookmarkStart w:id="2457" w:name="_Toc343264068"/>
      <w:bookmarkStart w:id="2458" w:name="_Toc343264359"/>
      <w:bookmarkStart w:id="2459" w:name="_Toc343266113"/>
      <w:bookmarkStart w:id="2460" w:name="_Toc343267252"/>
      <w:bookmarkStart w:id="2461" w:name="_Toc351994524"/>
      <w:bookmarkStart w:id="2462" w:name="_Toc351994747"/>
      <w:bookmarkStart w:id="2463" w:name="_Toc351996061"/>
      <w:bookmarkStart w:id="2464" w:name="_Toc351994525"/>
      <w:bookmarkStart w:id="2465" w:name="_Toc351994748"/>
      <w:bookmarkStart w:id="2466" w:name="_Toc351996062"/>
      <w:bookmarkStart w:id="2467" w:name="_Toc351994526"/>
      <w:bookmarkStart w:id="2468" w:name="_Toc351994749"/>
      <w:bookmarkStart w:id="2469" w:name="_Toc351996063"/>
      <w:bookmarkStart w:id="2470" w:name="_Toc346004478"/>
      <w:bookmarkStart w:id="2471" w:name="_Toc346092694"/>
      <w:bookmarkStart w:id="2472" w:name="_Toc346099784"/>
      <w:bookmarkStart w:id="2473" w:name="_Toc346099964"/>
      <w:bookmarkStart w:id="2474" w:name="_Toc346100088"/>
      <w:bookmarkStart w:id="2475" w:name="_Toc346100191"/>
      <w:bookmarkStart w:id="2476" w:name="_Toc346100294"/>
      <w:bookmarkStart w:id="2477" w:name="_Toc346118601"/>
      <w:bookmarkStart w:id="2478" w:name="_Toc346193877"/>
      <w:bookmarkStart w:id="2479" w:name="_Toc346269092"/>
      <w:bookmarkStart w:id="2480" w:name="_Toc346528083"/>
      <w:bookmarkStart w:id="2481" w:name="_Toc346541211"/>
      <w:bookmarkStart w:id="2482" w:name="_Toc346628721"/>
      <w:bookmarkStart w:id="2483" w:name="_Toc346635628"/>
      <w:bookmarkStart w:id="2484" w:name="_Toc346705554"/>
      <w:bookmarkStart w:id="2485" w:name="_Toc346801736"/>
      <w:bookmarkStart w:id="2486" w:name="_Toc346801863"/>
      <w:bookmarkStart w:id="2487" w:name="_Toc346801988"/>
      <w:bookmarkStart w:id="2488" w:name="_Toc346869453"/>
      <w:bookmarkStart w:id="2489" w:name="_Toc346886832"/>
      <w:bookmarkStart w:id="2490" w:name="_Toc346893497"/>
      <w:bookmarkStart w:id="2491" w:name="_Toc346896626"/>
      <w:bookmarkStart w:id="2492" w:name="_Toc347127793"/>
      <w:bookmarkStart w:id="2493" w:name="_Toc347131486"/>
      <w:bookmarkStart w:id="2494" w:name="_Toc347133580"/>
      <w:bookmarkStart w:id="2495" w:name="_Toc347135349"/>
      <w:bookmarkStart w:id="2496" w:name="_Toc347138647"/>
      <w:bookmarkStart w:id="2497" w:name="_Toc347152489"/>
      <w:bookmarkStart w:id="2498" w:name="_Toc347152622"/>
      <w:bookmarkStart w:id="2499" w:name="_Toc347152977"/>
      <w:bookmarkStart w:id="2500" w:name="_Toc347214422"/>
      <w:bookmarkStart w:id="2501" w:name="_Toc347303107"/>
      <w:bookmarkStart w:id="2502" w:name="_Toc347387125"/>
      <w:bookmarkStart w:id="2503" w:name="_Toc347477366"/>
      <w:bookmarkStart w:id="2504" w:name="_Toc347492962"/>
      <w:bookmarkStart w:id="2505" w:name="_Toc347494932"/>
      <w:bookmarkStart w:id="2506" w:name="_Toc347501151"/>
      <w:bookmarkStart w:id="2507" w:name="_Toc343262970"/>
      <w:bookmarkStart w:id="2508" w:name="_Toc343263688"/>
      <w:bookmarkStart w:id="2509" w:name="_Toc343263812"/>
      <w:bookmarkStart w:id="2510" w:name="_Toc343263935"/>
      <w:bookmarkStart w:id="2511" w:name="_Toc343264072"/>
      <w:bookmarkStart w:id="2512" w:name="_Toc343264363"/>
      <w:bookmarkStart w:id="2513" w:name="_Toc343266117"/>
      <w:bookmarkStart w:id="2514" w:name="_Toc343267255"/>
      <w:bookmarkStart w:id="2515" w:name="_Toc343262972"/>
      <w:bookmarkStart w:id="2516" w:name="_Toc343263690"/>
      <w:bookmarkStart w:id="2517" w:name="_Toc343263814"/>
      <w:bookmarkStart w:id="2518" w:name="_Toc343263937"/>
      <w:bookmarkStart w:id="2519" w:name="_Toc343264074"/>
      <w:bookmarkStart w:id="2520" w:name="_Toc343264365"/>
      <w:bookmarkStart w:id="2521" w:name="_Toc343266119"/>
      <w:bookmarkStart w:id="2522" w:name="_Toc343267257"/>
      <w:bookmarkStart w:id="2523" w:name="_Toc346092703"/>
      <w:bookmarkStart w:id="2524" w:name="_Toc346092704"/>
      <w:bookmarkStart w:id="2525" w:name="_Toc346099794"/>
      <w:bookmarkStart w:id="2526" w:name="_Toc346099973"/>
      <w:bookmarkStart w:id="2527" w:name="_Toc348103239"/>
      <w:bookmarkStart w:id="2528" w:name="_Toc348103355"/>
      <w:bookmarkStart w:id="2529" w:name="_Toc348103240"/>
      <w:bookmarkStart w:id="2530" w:name="_Toc348103356"/>
      <w:bookmarkStart w:id="2531" w:name="_Toc348103241"/>
      <w:bookmarkStart w:id="2532" w:name="_Toc348103357"/>
      <w:bookmarkStart w:id="2533" w:name="_Toc346099797"/>
      <w:bookmarkStart w:id="2534" w:name="_Toc346099976"/>
      <w:bookmarkStart w:id="2535" w:name="_Toc346100098"/>
      <w:bookmarkStart w:id="2536" w:name="_Toc346092706"/>
      <w:bookmarkStart w:id="2537" w:name="_Toc346099798"/>
      <w:bookmarkStart w:id="2538" w:name="_Toc346099977"/>
      <w:bookmarkStart w:id="2539" w:name="_Toc346100099"/>
      <w:bookmarkStart w:id="2540" w:name="_Toc346100202"/>
      <w:bookmarkStart w:id="2541" w:name="_Toc351994537"/>
      <w:bookmarkStart w:id="2542" w:name="_Toc351994760"/>
      <w:bookmarkStart w:id="2543" w:name="_Toc351996074"/>
      <w:bookmarkStart w:id="2544" w:name="_Toc351994538"/>
      <w:bookmarkStart w:id="2545" w:name="_Toc351994761"/>
      <w:bookmarkStart w:id="2546" w:name="_Toc351996075"/>
      <w:bookmarkStart w:id="2547" w:name="_Toc346099800"/>
      <w:bookmarkStart w:id="2548" w:name="_Toc346099979"/>
      <w:bookmarkStart w:id="2549" w:name="_Toc346100101"/>
      <w:bookmarkStart w:id="2550" w:name="_Toc346100204"/>
      <w:bookmarkStart w:id="2551" w:name="_Toc346100305"/>
      <w:bookmarkStart w:id="2552" w:name="_Toc346118613"/>
      <w:bookmarkStart w:id="2553" w:name="_Toc346193889"/>
      <w:bookmarkStart w:id="2554" w:name="_Toc346269104"/>
      <w:bookmarkStart w:id="2555" w:name="_Toc346528095"/>
      <w:bookmarkStart w:id="2556" w:name="_Toc346541223"/>
      <w:bookmarkStart w:id="2557" w:name="_Toc346628733"/>
      <w:bookmarkStart w:id="2558" w:name="_Toc346635640"/>
      <w:bookmarkStart w:id="2559" w:name="_Toc346705566"/>
      <w:bookmarkStart w:id="2560" w:name="_Toc346801748"/>
      <w:bookmarkStart w:id="2561" w:name="_Toc346801875"/>
      <w:bookmarkStart w:id="2562" w:name="_Toc346802000"/>
      <w:bookmarkStart w:id="2563" w:name="_Toc346869465"/>
      <w:bookmarkStart w:id="2564" w:name="_Toc346886844"/>
      <w:bookmarkStart w:id="2565" w:name="_Toc346893509"/>
      <w:bookmarkStart w:id="2566" w:name="_Toc346896638"/>
      <w:bookmarkStart w:id="2567" w:name="_Toc347127805"/>
      <w:bookmarkStart w:id="2568" w:name="_Toc347131498"/>
      <w:bookmarkStart w:id="2569" w:name="_Toc347133592"/>
      <w:bookmarkStart w:id="2570" w:name="_Toc347135361"/>
      <w:bookmarkStart w:id="2571" w:name="_Toc347138659"/>
      <w:bookmarkStart w:id="2572" w:name="_Toc347152501"/>
      <w:bookmarkStart w:id="2573" w:name="_Toc347152634"/>
      <w:bookmarkStart w:id="2574" w:name="_Toc347152989"/>
      <w:bookmarkStart w:id="2575" w:name="_Toc347214434"/>
      <w:bookmarkStart w:id="2576" w:name="_Toc347303119"/>
      <w:bookmarkStart w:id="2577" w:name="_Toc347387137"/>
      <w:bookmarkStart w:id="2578" w:name="_Toc347477378"/>
      <w:bookmarkStart w:id="2579" w:name="_Toc347492974"/>
      <w:bookmarkStart w:id="2580" w:name="_Toc347494944"/>
      <w:bookmarkStart w:id="2581" w:name="_Toc347501163"/>
      <w:bookmarkStart w:id="2582" w:name="_Toc346269106"/>
      <w:bookmarkStart w:id="2583" w:name="_Toc346528097"/>
      <w:bookmarkStart w:id="2584" w:name="_Toc346541225"/>
      <w:bookmarkStart w:id="2585" w:name="_Toc346628735"/>
      <w:bookmarkStart w:id="2586" w:name="_Toc346635642"/>
      <w:bookmarkStart w:id="2587" w:name="_Toc346705568"/>
      <w:bookmarkStart w:id="2588" w:name="_Toc346801750"/>
      <w:bookmarkStart w:id="2589" w:name="_Toc346801877"/>
      <w:bookmarkStart w:id="2590" w:name="_Toc346802002"/>
      <w:bookmarkStart w:id="2591" w:name="_Toc346869467"/>
      <w:bookmarkStart w:id="2592" w:name="_Toc346886846"/>
      <w:bookmarkStart w:id="2593" w:name="_Toc346893511"/>
      <w:bookmarkStart w:id="2594" w:name="_Toc346896640"/>
      <w:bookmarkStart w:id="2595" w:name="_Toc347127807"/>
      <w:bookmarkStart w:id="2596" w:name="_Toc347131500"/>
      <w:bookmarkStart w:id="2597" w:name="_Toc347133594"/>
      <w:bookmarkStart w:id="2598" w:name="_Toc347135363"/>
      <w:bookmarkStart w:id="2599" w:name="_Toc347138661"/>
      <w:bookmarkStart w:id="2600" w:name="_Toc347152503"/>
      <w:bookmarkStart w:id="2601" w:name="_Toc347152636"/>
      <w:bookmarkStart w:id="2602" w:name="_Toc347152991"/>
      <w:bookmarkStart w:id="2603" w:name="_Toc347214436"/>
      <w:bookmarkStart w:id="2604" w:name="_Toc347303121"/>
      <w:bookmarkStart w:id="2605" w:name="_Toc347387139"/>
      <w:bookmarkStart w:id="2606" w:name="_Toc347477380"/>
      <w:bookmarkStart w:id="2607" w:name="_Toc347492976"/>
      <w:bookmarkStart w:id="2608" w:name="_Toc347494946"/>
      <w:bookmarkStart w:id="2609" w:name="_Toc347501165"/>
      <w:bookmarkStart w:id="2610" w:name="_Toc348103246"/>
      <w:bookmarkStart w:id="2611" w:name="_Toc348103362"/>
      <w:bookmarkStart w:id="2612" w:name="_Toc346528099"/>
      <w:bookmarkStart w:id="2613" w:name="_Toc346541227"/>
      <w:bookmarkStart w:id="2614" w:name="_Toc346628737"/>
      <w:bookmarkStart w:id="2615" w:name="_Toc346635644"/>
      <w:bookmarkStart w:id="2616" w:name="_Toc346705570"/>
      <w:bookmarkStart w:id="2617" w:name="_Toc346801752"/>
      <w:bookmarkStart w:id="2618" w:name="_Toc346801879"/>
      <w:bookmarkStart w:id="2619" w:name="_Toc346802004"/>
      <w:bookmarkStart w:id="2620" w:name="_Toc346869469"/>
      <w:bookmarkStart w:id="2621" w:name="_Toc346886848"/>
      <w:bookmarkStart w:id="2622" w:name="_Toc346893513"/>
      <w:bookmarkStart w:id="2623" w:name="_Toc346896642"/>
      <w:bookmarkStart w:id="2624" w:name="_Toc347127809"/>
      <w:bookmarkStart w:id="2625" w:name="_Toc347131502"/>
      <w:bookmarkStart w:id="2626" w:name="_Toc347133596"/>
      <w:bookmarkStart w:id="2627" w:name="_Toc347135365"/>
      <w:bookmarkStart w:id="2628" w:name="_Toc347138663"/>
      <w:bookmarkStart w:id="2629" w:name="_Toc347152505"/>
      <w:bookmarkStart w:id="2630" w:name="_Toc347152638"/>
      <w:bookmarkStart w:id="2631" w:name="_Toc347152993"/>
      <w:bookmarkStart w:id="2632" w:name="_Toc347214438"/>
      <w:bookmarkStart w:id="2633" w:name="_Toc347303123"/>
      <w:bookmarkStart w:id="2634" w:name="_Toc347387141"/>
      <w:bookmarkStart w:id="2635" w:name="_Toc347477382"/>
      <w:bookmarkStart w:id="2636" w:name="_Toc347492978"/>
      <w:bookmarkStart w:id="2637" w:name="_Toc347494948"/>
      <w:bookmarkStart w:id="2638" w:name="_Toc347501167"/>
      <w:bookmarkStart w:id="2639" w:name="_Toc346628739"/>
      <w:bookmarkStart w:id="2640" w:name="_Toc346635646"/>
      <w:bookmarkStart w:id="2641" w:name="_Toc346705572"/>
      <w:bookmarkStart w:id="2642" w:name="_Toc346801754"/>
      <w:bookmarkStart w:id="2643" w:name="_Toc346801881"/>
      <w:bookmarkStart w:id="2644" w:name="_Toc346802006"/>
      <w:bookmarkStart w:id="2645" w:name="_Toc346869471"/>
      <w:bookmarkStart w:id="2646" w:name="_Toc346886850"/>
      <w:bookmarkStart w:id="2647" w:name="_Toc346893515"/>
      <w:bookmarkStart w:id="2648" w:name="_Toc346896644"/>
      <w:bookmarkStart w:id="2649" w:name="_Toc347127811"/>
      <w:bookmarkStart w:id="2650" w:name="_Toc347131504"/>
      <w:bookmarkStart w:id="2651" w:name="_Toc347133598"/>
      <w:bookmarkStart w:id="2652" w:name="_Toc347135367"/>
      <w:bookmarkStart w:id="2653" w:name="_Toc347138665"/>
      <w:bookmarkStart w:id="2654" w:name="_Toc347152507"/>
      <w:bookmarkStart w:id="2655" w:name="_Toc347152640"/>
      <w:bookmarkStart w:id="2656" w:name="_Toc347152995"/>
      <w:bookmarkStart w:id="2657" w:name="_Toc347214440"/>
      <w:bookmarkStart w:id="2658" w:name="_Toc347303125"/>
      <w:bookmarkStart w:id="2659" w:name="_Toc347387143"/>
      <w:bookmarkStart w:id="2660" w:name="_Toc347477384"/>
      <w:bookmarkStart w:id="2661" w:name="_Toc347492980"/>
      <w:bookmarkStart w:id="2662" w:name="_Toc347494950"/>
      <w:bookmarkStart w:id="2663" w:name="_Toc347501169"/>
      <w:bookmarkStart w:id="2664" w:name="_Toc343263698"/>
      <w:bookmarkStart w:id="2665" w:name="_Toc343263822"/>
      <w:bookmarkStart w:id="2666" w:name="_Toc343263945"/>
      <w:bookmarkStart w:id="2667" w:name="_Toc343264082"/>
      <w:bookmarkStart w:id="2668" w:name="_Toc343264373"/>
      <w:bookmarkStart w:id="2669" w:name="_Toc343266127"/>
      <w:bookmarkStart w:id="2670" w:name="_Toc343267265"/>
      <w:bookmarkStart w:id="2671" w:name="_Toc348103249"/>
      <w:bookmarkStart w:id="2672" w:name="_Toc348103365"/>
      <w:bookmarkStart w:id="2673" w:name="_Toc346628743"/>
      <w:bookmarkStart w:id="2674" w:name="_Toc346635650"/>
      <w:bookmarkStart w:id="2675" w:name="_Toc346705576"/>
      <w:bookmarkStart w:id="2676" w:name="_Toc346801758"/>
      <w:bookmarkStart w:id="2677" w:name="_Toc346801885"/>
      <w:bookmarkStart w:id="2678" w:name="_Toc346802010"/>
      <w:bookmarkStart w:id="2679" w:name="_Toc346869475"/>
      <w:bookmarkStart w:id="2680" w:name="_Toc346886854"/>
      <w:bookmarkStart w:id="2681" w:name="_Toc346893519"/>
      <w:bookmarkStart w:id="2682" w:name="_Toc346896648"/>
      <w:bookmarkStart w:id="2683" w:name="_Toc347127815"/>
      <w:bookmarkStart w:id="2684" w:name="_Toc347131508"/>
      <w:bookmarkStart w:id="2685" w:name="_Toc347133602"/>
      <w:bookmarkStart w:id="2686" w:name="_Toc347135371"/>
      <w:bookmarkStart w:id="2687" w:name="_Toc347138669"/>
      <w:bookmarkStart w:id="2688" w:name="_Toc347152511"/>
      <w:bookmarkStart w:id="2689" w:name="_Toc347152644"/>
      <w:bookmarkStart w:id="2690" w:name="_Toc347152999"/>
      <w:bookmarkStart w:id="2691" w:name="_Toc347214444"/>
      <w:bookmarkStart w:id="2692" w:name="_Toc347303129"/>
      <w:bookmarkStart w:id="2693" w:name="_Toc347387147"/>
      <w:bookmarkStart w:id="2694" w:name="_Toc347477388"/>
      <w:bookmarkStart w:id="2695" w:name="_Toc347492984"/>
      <w:bookmarkStart w:id="2696" w:name="_Toc347494954"/>
      <w:bookmarkStart w:id="2697" w:name="_Toc347501173"/>
      <w:bookmarkStart w:id="2698" w:name="_Toc346628744"/>
      <w:bookmarkStart w:id="2699" w:name="_Toc346635651"/>
      <w:bookmarkStart w:id="2700" w:name="_Toc346705577"/>
      <w:bookmarkStart w:id="2701" w:name="_Toc346801759"/>
      <w:bookmarkStart w:id="2702" w:name="_Toc346801886"/>
      <w:bookmarkStart w:id="2703" w:name="_Toc346802011"/>
      <w:bookmarkStart w:id="2704" w:name="_Toc346869476"/>
      <w:bookmarkStart w:id="2705" w:name="_Toc346886855"/>
      <w:bookmarkStart w:id="2706" w:name="_Toc346893520"/>
      <w:bookmarkStart w:id="2707" w:name="_Toc346896649"/>
      <w:bookmarkStart w:id="2708" w:name="_Toc347127816"/>
      <w:bookmarkStart w:id="2709" w:name="_Toc347131509"/>
      <w:bookmarkStart w:id="2710" w:name="_Toc347133603"/>
      <w:bookmarkStart w:id="2711" w:name="_Toc347135372"/>
      <w:bookmarkStart w:id="2712" w:name="_Toc347138670"/>
      <w:bookmarkStart w:id="2713" w:name="_Toc347152512"/>
      <w:bookmarkStart w:id="2714" w:name="_Toc347152645"/>
      <w:bookmarkStart w:id="2715" w:name="_Toc347153000"/>
      <w:bookmarkStart w:id="2716" w:name="_Toc347214445"/>
      <w:bookmarkStart w:id="2717" w:name="_Toc347303130"/>
      <w:bookmarkStart w:id="2718" w:name="_Toc347387148"/>
      <w:bookmarkStart w:id="2719" w:name="_Toc347477389"/>
      <w:bookmarkStart w:id="2720" w:name="_Toc347492985"/>
      <w:bookmarkStart w:id="2721" w:name="_Toc347494955"/>
      <w:bookmarkStart w:id="2722" w:name="_Toc347501174"/>
      <w:bookmarkStart w:id="2723" w:name="_Toc346635652"/>
      <w:bookmarkStart w:id="2724" w:name="_Toc346705578"/>
      <w:bookmarkStart w:id="2725" w:name="_Toc346801760"/>
      <w:bookmarkStart w:id="2726" w:name="_Toc346801887"/>
      <w:bookmarkStart w:id="2727" w:name="_Toc346802012"/>
      <w:bookmarkStart w:id="2728" w:name="_Toc346869477"/>
      <w:bookmarkStart w:id="2729" w:name="_Toc346886856"/>
      <w:bookmarkStart w:id="2730" w:name="_Toc346893521"/>
      <w:bookmarkStart w:id="2731" w:name="_Toc346896650"/>
      <w:bookmarkStart w:id="2732" w:name="_Toc347127817"/>
      <w:bookmarkStart w:id="2733" w:name="_Toc347131510"/>
      <w:bookmarkStart w:id="2734" w:name="_Toc347133604"/>
      <w:bookmarkStart w:id="2735" w:name="_Toc347135373"/>
      <w:bookmarkStart w:id="2736" w:name="_Toc347138671"/>
      <w:bookmarkStart w:id="2737" w:name="_Toc347152513"/>
      <w:bookmarkStart w:id="2738" w:name="_Toc347152646"/>
      <w:bookmarkStart w:id="2739" w:name="_Toc347153001"/>
      <w:bookmarkStart w:id="2740" w:name="_Toc347214446"/>
      <w:bookmarkStart w:id="2741" w:name="_Toc347303131"/>
      <w:bookmarkStart w:id="2742" w:name="_Toc347387149"/>
      <w:bookmarkStart w:id="2743" w:name="_Toc347477390"/>
      <w:bookmarkStart w:id="2744" w:name="_Toc347492986"/>
      <w:bookmarkStart w:id="2745" w:name="_Toc347494956"/>
      <w:bookmarkStart w:id="2746" w:name="_Toc347501175"/>
      <w:bookmarkStart w:id="2747" w:name="_Toc343263701"/>
      <w:bookmarkStart w:id="2748" w:name="_Toc343263825"/>
      <w:bookmarkStart w:id="2749" w:name="_Toc343263948"/>
      <w:bookmarkStart w:id="2750" w:name="_Toc343264085"/>
      <w:bookmarkStart w:id="2751" w:name="_Toc343264376"/>
      <w:bookmarkStart w:id="2752" w:name="_Toc343266130"/>
      <w:bookmarkStart w:id="2753" w:name="_Toc343267268"/>
      <w:bookmarkStart w:id="2754" w:name="_Toc346635657"/>
      <w:bookmarkStart w:id="2755" w:name="_Toc346705583"/>
      <w:bookmarkStart w:id="2756" w:name="_Toc346801765"/>
      <w:bookmarkStart w:id="2757" w:name="_Toc346801892"/>
      <w:bookmarkStart w:id="2758" w:name="_Toc346802017"/>
      <w:bookmarkStart w:id="2759" w:name="_Toc346869482"/>
      <w:bookmarkStart w:id="2760" w:name="_Toc346886861"/>
      <w:bookmarkStart w:id="2761" w:name="_Toc346893526"/>
      <w:bookmarkStart w:id="2762" w:name="_Toc346896655"/>
      <w:bookmarkStart w:id="2763" w:name="_Toc347127822"/>
      <w:bookmarkStart w:id="2764" w:name="_Toc347131515"/>
      <w:bookmarkStart w:id="2765" w:name="_Toc347133609"/>
      <w:bookmarkStart w:id="2766" w:name="_Toc347135378"/>
      <w:bookmarkStart w:id="2767" w:name="_Toc347138676"/>
      <w:bookmarkStart w:id="2768" w:name="_Toc347152518"/>
      <w:bookmarkStart w:id="2769" w:name="_Toc347152651"/>
      <w:bookmarkStart w:id="2770" w:name="_Toc347153006"/>
      <w:bookmarkStart w:id="2771" w:name="_Toc347214451"/>
      <w:bookmarkStart w:id="2772" w:name="_Toc347303136"/>
      <w:bookmarkStart w:id="2773" w:name="_Toc347387154"/>
      <w:bookmarkStart w:id="2774" w:name="_Toc347477395"/>
      <w:bookmarkStart w:id="2775" w:name="_Toc347492991"/>
      <w:bookmarkStart w:id="2776" w:name="_Toc347494961"/>
      <w:bookmarkStart w:id="2777" w:name="_Toc347501180"/>
      <w:bookmarkStart w:id="2778" w:name="_Toc346635660"/>
      <w:bookmarkStart w:id="2779" w:name="_Toc346705586"/>
      <w:bookmarkStart w:id="2780" w:name="_Toc346801768"/>
      <w:bookmarkStart w:id="2781" w:name="_Toc346801895"/>
      <w:bookmarkStart w:id="2782" w:name="_Toc346802020"/>
      <w:bookmarkStart w:id="2783" w:name="_Toc346869485"/>
      <w:bookmarkStart w:id="2784" w:name="_Toc346886864"/>
      <w:bookmarkStart w:id="2785" w:name="_Toc346893529"/>
      <w:bookmarkStart w:id="2786" w:name="_Toc346896658"/>
      <w:bookmarkStart w:id="2787" w:name="_Toc347127825"/>
      <w:bookmarkStart w:id="2788" w:name="_Toc347131518"/>
      <w:bookmarkStart w:id="2789" w:name="_Toc347133612"/>
      <w:bookmarkStart w:id="2790" w:name="_Toc347135381"/>
      <w:bookmarkStart w:id="2791" w:name="_Toc347138679"/>
      <w:bookmarkStart w:id="2792" w:name="_Toc347152521"/>
      <w:bookmarkStart w:id="2793" w:name="_Toc347152654"/>
      <w:bookmarkStart w:id="2794" w:name="_Toc347153009"/>
      <w:bookmarkStart w:id="2795" w:name="_Toc347214454"/>
      <w:bookmarkStart w:id="2796" w:name="_Toc347303139"/>
      <w:bookmarkStart w:id="2797" w:name="_Toc347387157"/>
      <w:bookmarkStart w:id="2798" w:name="_Toc347477398"/>
      <w:bookmarkStart w:id="2799" w:name="_Toc347492994"/>
      <w:bookmarkStart w:id="2800" w:name="_Toc347494964"/>
      <w:bookmarkStart w:id="2801" w:name="_Toc347501183"/>
      <w:bookmarkStart w:id="2802" w:name="_Toc346635661"/>
      <w:bookmarkStart w:id="2803" w:name="_Toc346705587"/>
      <w:bookmarkStart w:id="2804" w:name="_Toc346801769"/>
      <w:bookmarkStart w:id="2805" w:name="_Toc346801896"/>
      <w:bookmarkStart w:id="2806" w:name="_Toc346802021"/>
      <w:bookmarkStart w:id="2807" w:name="_Toc346869486"/>
      <w:bookmarkStart w:id="2808" w:name="_Toc346886865"/>
      <w:bookmarkStart w:id="2809" w:name="_Toc346893530"/>
      <w:bookmarkStart w:id="2810" w:name="_Toc346896659"/>
      <w:bookmarkStart w:id="2811" w:name="_Toc347127826"/>
      <w:bookmarkStart w:id="2812" w:name="_Toc347131519"/>
      <w:bookmarkStart w:id="2813" w:name="_Toc347133613"/>
      <w:bookmarkStart w:id="2814" w:name="_Toc347135382"/>
      <w:bookmarkStart w:id="2815" w:name="_Toc347138680"/>
      <w:bookmarkStart w:id="2816" w:name="_Toc347152522"/>
      <w:bookmarkStart w:id="2817" w:name="_Toc347152655"/>
      <w:bookmarkStart w:id="2818" w:name="_Toc347153010"/>
      <w:bookmarkStart w:id="2819" w:name="_Toc347214455"/>
      <w:bookmarkStart w:id="2820" w:name="_Toc347303140"/>
      <w:bookmarkStart w:id="2821" w:name="_Toc347387158"/>
      <w:bookmarkStart w:id="2822" w:name="_Toc347477399"/>
      <w:bookmarkStart w:id="2823" w:name="_Toc347492995"/>
      <w:bookmarkStart w:id="2824" w:name="_Toc347494965"/>
      <w:bookmarkStart w:id="2825" w:name="_Toc347501184"/>
      <w:bookmarkStart w:id="2826" w:name="_Toc346635662"/>
      <w:bookmarkStart w:id="2827" w:name="_Toc346705588"/>
      <w:bookmarkStart w:id="2828" w:name="_Toc346801770"/>
      <w:bookmarkStart w:id="2829" w:name="_Toc346801897"/>
      <w:bookmarkStart w:id="2830" w:name="_Toc346802022"/>
      <w:bookmarkStart w:id="2831" w:name="_Toc346869487"/>
      <w:bookmarkStart w:id="2832" w:name="_Toc346886866"/>
      <w:bookmarkStart w:id="2833" w:name="_Toc346893531"/>
      <w:bookmarkStart w:id="2834" w:name="_Toc346896660"/>
      <w:bookmarkStart w:id="2835" w:name="_Toc347127827"/>
      <w:bookmarkStart w:id="2836" w:name="_Toc347131520"/>
      <w:bookmarkStart w:id="2837" w:name="_Toc347133614"/>
      <w:bookmarkStart w:id="2838" w:name="_Toc347135383"/>
      <w:bookmarkStart w:id="2839" w:name="_Toc347138681"/>
      <w:bookmarkStart w:id="2840" w:name="_Toc347152523"/>
      <w:bookmarkStart w:id="2841" w:name="_Toc347152656"/>
      <w:bookmarkStart w:id="2842" w:name="_Toc347153011"/>
      <w:bookmarkStart w:id="2843" w:name="_Toc347214456"/>
      <w:bookmarkStart w:id="2844" w:name="_Toc347303141"/>
      <w:bookmarkStart w:id="2845" w:name="_Toc347387159"/>
      <w:bookmarkStart w:id="2846" w:name="_Toc347477400"/>
      <w:bookmarkStart w:id="2847" w:name="_Toc347492996"/>
      <w:bookmarkStart w:id="2848" w:name="_Toc347494966"/>
      <w:bookmarkStart w:id="2849" w:name="_Toc347501185"/>
      <w:bookmarkStart w:id="2850" w:name="_Toc343003012"/>
      <w:bookmarkStart w:id="2851" w:name="_Toc352675380"/>
      <w:bookmarkStart w:id="2852" w:name="_Toc343003071"/>
      <w:bookmarkStart w:id="2853" w:name="_Toc35267540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r w:rsidR="0005280D" w:rsidRPr="00285149">
        <w:rPr>
          <w:rFonts w:ascii="Arial" w:hAnsi="Arial" w:cs="Arial"/>
          <w:b/>
          <w:sz w:val="22"/>
          <w:szCs w:val="22"/>
        </w:rPr>
        <w:t>SR240: Non-life Technical Provisions (By line of business – Part A)</w:t>
      </w:r>
      <w:bookmarkEnd w:id="2850"/>
      <w:bookmarkEnd w:id="2851"/>
      <w:r w:rsidR="00B10075">
        <w:rPr>
          <w:rFonts w:ascii="Arial" w:hAnsi="Arial" w:cs="Arial"/>
          <w:b/>
          <w:sz w:val="22"/>
          <w:szCs w:val="22"/>
        </w:rPr>
        <w:t xml:space="preserve"> (S.17.01.02)</w:t>
      </w:r>
    </w:p>
    <w:p w14:paraId="483148E4"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25C63463"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3FD48079" w14:textId="0E2BC97F"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w:t>
      </w:r>
      <w:r w:rsidR="00DA1167">
        <w:rPr>
          <w:rFonts w:ascii="Arial" w:hAnsi="Arial" w:cs="Arial"/>
          <w:color w:val="000000"/>
        </w:rPr>
        <w:t xml:space="preserve"> the 2024 guidance on technical provisions</w:t>
      </w:r>
      <w:r w:rsidRPr="00172007">
        <w:rPr>
          <w:rFonts w:ascii="Arial" w:hAnsi="Arial" w:cs="Arial"/>
          <w:color w:val="000000"/>
        </w:rPr>
        <w:t xml:space="preserve">. These instructions can be accessed through the following link: </w:t>
      </w:r>
      <w:hyperlink r:id="rId35" w:history="1">
        <w:r w:rsidR="004D186D" w:rsidRPr="00363F61">
          <w:rPr>
            <w:rStyle w:val="Hyperlink"/>
            <w:rFonts w:ascii="NHaasGroteskTXStd-55Rg" w:hAnsi="NHaasGroteskTXStd-55Rg" w:cs="Arial"/>
            <w:sz w:val="21"/>
            <w:szCs w:val="21"/>
          </w:rPr>
          <w:t xml:space="preserve">Lloyds Solvency II Technical Provisions Guidance </w:t>
        </w:r>
        <w:r w:rsidR="006E47CC">
          <w:rPr>
            <w:rStyle w:val="Hyperlink"/>
            <w:rFonts w:ascii="NHaasGroteskTXStd-55Rg" w:hAnsi="NHaasGroteskTXStd-55Rg" w:cs="Arial"/>
            <w:sz w:val="21"/>
            <w:szCs w:val="21"/>
          </w:rPr>
          <w:t>2024</w:t>
        </w:r>
      </w:hyperlink>
      <w:hyperlink r:id="rId36" w:history="1">
        <w:r w:rsidRPr="00363F61">
          <w:rPr>
            <w:rStyle w:val="Hyperlink"/>
            <w:rFonts w:ascii="Arial" w:hAnsi="Arial" w:cs="Arial"/>
          </w:rPr>
          <w:t>.</w:t>
        </w:r>
      </w:hyperlink>
    </w:p>
    <w:p w14:paraId="05FB092A" w14:textId="77777777" w:rsidR="006B3ACE" w:rsidRDefault="006B3AC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p>
    <w:p w14:paraId="565178DF" w14:textId="77777777" w:rsidR="0005280D" w:rsidRPr="00FA126B"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2854" w:name="_Toc343003013"/>
      <w:r w:rsidRPr="00247C18">
        <w:rPr>
          <w:rFonts w:ascii="Arial" w:hAnsi="Arial" w:cs="Arial"/>
          <w:b/>
          <w:color w:val="000000"/>
        </w:rPr>
        <w:t>Technical provisions calculated as whole</w:t>
      </w:r>
      <w:r w:rsidR="006567D4">
        <w:rPr>
          <w:rFonts w:ascii="Arial" w:hAnsi="Arial" w:cs="Arial"/>
          <w:b/>
          <w:color w:val="000000"/>
        </w:rPr>
        <w:t xml:space="preserve"> </w:t>
      </w:r>
      <w:r w:rsidR="006567D4" w:rsidRPr="00D353C8">
        <w:rPr>
          <w:rFonts w:ascii="Arial" w:hAnsi="Arial" w:cs="Arial"/>
          <w:color w:val="000000"/>
        </w:rPr>
        <w:t>(R0010, R0290, R0320)</w:t>
      </w:r>
      <w:r w:rsidRPr="00D353C8">
        <w:rPr>
          <w:rFonts w:ascii="Arial" w:hAnsi="Arial" w:cs="Arial"/>
          <w:color w:val="000000"/>
        </w:rPr>
        <w:t>:</w:t>
      </w:r>
      <w:r w:rsidRPr="006567D4">
        <w:rPr>
          <w:rFonts w:ascii="Arial" w:hAnsi="Arial" w:cs="Arial"/>
          <w:color w:val="000000"/>
        </w:rPr>
        <w:t xml:space="preserve"> </w:t>
      </w:r>
      <w:r w:rsidRPr="00247C18">
        <w:rPr>
          <w:rFonts w:ascii="Arial" w:hAnsi="Arial" w:cs="Arial"/>
          <w:color w:val="000000"/>
        </w:rPr>
        <w:t xml:space="preserve">This is the amount of technical provisions in the case of replicable or </w:t>
      </w:r>
      <w:proofErr w:type="spellStart"/>
      <w:r w:rsidRPr="00247C18">
        <w:rPr>
          <w:rFonts w:ascii="Arial" w:hAnsi="Arial" w:cs="Arial"/>
          <w:color w:val="000000"/>
        </w:rPr>
        <w:t>hedgeable</w:t>
      </w:r>
      <w:proofErr w:type="spellEnd"/>
      <w:r w:rsidRPr="00247C18">
        <w:rPr>
          <w:rFonts w:ascii="Arial" w:hAnsi="Arial" w:cs="Arial"/>
          <w:color w:val="000000"/>
        </w:rPr>
        <w:t xml:space="preserv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w:t>
      </w:r>
      <w:r w:rsidRPr="00247C18">
        <w:rPr>
          <w:rFonts w:ascii="Arial" w:hAnsi="Arial" w:cs="Arial"/>
          <w:color w:val="000000"/>
        </w:rPr>
        <w:lastRenderedPageBreak/>
        <w:t>the basis of the market value of those financial instruments. Lloyd’s does not expect syndicates to calculate technical provisions as a whole</w:t>
      </w:r>
      <w:r>
        <w:rPr>
          <w:rFonts w:ascii="Arial" w:hAnsi="Arial" w:cs="Arial"/>
          <w:color w:val="000000"/>
        </w:rPr>
        <w:t xml:space="preserve">, however, </w:t>
      </w:r>
      <w:bookmarkStart w:id="2855" w:name="_Toc343003014"/>
      <w:bookmarkEnd w:id="2854"/>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0E96F7D4"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valuation of the best estimate should be calculated separately in respect of premium provisions and claims provisions.</w:t>
      </w:r>
      <w:bookmarkEnd w:id="2855"/>
    </w:p>
    <w:p w14:paraId="50AE3A4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Classification of business as direct business should be based on the insured i.e. insurance contracts issued to policyholder either directly by the syndicate or through an intermediary should be classified as “direct” business. </w:t>
      </w:r>
    </w:p>
    <w:p w14:paraId="46FFCEAD" w14:textId="05419751" w:rsidR="0005280D" w:rsidRPr="001603F1" w:rsidRDefault="0005280D" w:rsidP="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 xml:space="preserve">To assist in the completion of this form, there </w:t>
      </w:r>
      <w:r w:rsidRPr="00887B22">
        <w:rPr>
          <w:rFonts w:ascii="Arial" w:hAnsi="Arial" w:cs="Arial"/>
          <w:color w:val="000000"/>
          <w:sz w:val="20"/>
          <w:lang w:val="en-GB" w:eastAsia="en-GB"/>
        </w:rPr>
        <w:t>is already an existing mapping between risk codes and Solvency II lines of business</w:t>
      </w:r>
      <w:r w:rsidRPr="001110AF">
        <w:rPr>
          <w:rFonts w:ascii="Arial" w:hAnsi="Arial" w:cs="Arial"/>
          <w:color w:val="000000"/>
          <w:sz w:val="20"/>
          <w:lang w:val="en-GB" w:eastAsia="en-GB"/>
        </w:rPr>
        <w:t>. This may be</w:t>
      </w:r>
      <w:r w:rsidRPr="001110AF">
        <w:rPr>
          <w:rFonts w:ascii="Arial" w:hAnsi="Arial" w:cs="Arial"/>
          <w:sz w:val="20"/>
          <w:lang w:val="en-GB"/>
        </w:rPr>
        <w:t xml:space="preserve"> accessed via the following link:</w:t>
      </w:r>
      <w:r w:rsidR="009D1FB5" w:rsidRPr="009D1FB5">
        <w:rPr>
          <w:lang w:val="en-GB"/>
        </w:rPr>
        <w:t xml:space="preserve"> </w:t>
      </w:r>
      <w:hyperlink r:id="rId37" w:history="1">
        <w:r w:rsidR="009D1FB5" w:rsidRPr="0061772E">
          <w:rPr>
            <w:rStyle w:val="Hyperlink"/>
            <w:rFonts w:ascii="Arial" w:hAnsi="Arial" w:cs="Arial"/>
            <w:sz w:val="20"/>
            <w:lang w:val="en-GB"/>
          </w:rPr>
          <w:t>Risk code mapping to Solvency II class of business</w:t>
        </w:r>
      </w:hyperlink>
      <w:r w:rsidR="009D1FB5" w:rsidRPr="0061772E">
        <w:rPr>
          <w:rStyle w:val="Hyperlink"/>
          <w:rFonts w:ascii="Arial" w:hAnsi="Arial" w:cs="Arial"/>
          <w:sz w:val="20"/>
          <w:lang w:val="en-GB"/>
        </w:rPr>
        <w:t>.</w:t>
      </w:r>
    </w:p>
    <w:p w14:paraId="5DC69837"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3A932D76"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5EA8A4DA" w14:textId="0BDD0EF3" w:rsidR="0005280D" w:rsidRPr="00B51325"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agree to the amount </w:t>
      </w:r>
      <w:r w:rsidR="0005280D" w:rsidRPr="00B51325">
        <w:rPr>
          <w:rFonts w:ascii="Arial" w:hAnsi="Arial" w:cs="Arial"/>
          <w:color w:val="000000"/>
        </w:rPr>
        <w:t>reported in the balance sheet as follows:</w:t>
      </w:r>
    </w:p>
    <w:p w14:paraId="06C92F84" w14:textId="77777777" w:rsidR="00C20031" w:rsidRPr="00364BBE" w:rsidRDefault="007530AB" w:rsidP="006C5EE3">
      <w:pPr>
        <w:pStyle w:val="ListParagraph"/>
        <w:widowControl w:val="0"/>
        <w:numPr>
          <w:ilvl w:val="0"/>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7A4FAA">
        <w:rPr>
          <w:rFonts w:ascii="Arial" w:hAnsi="Arial" w:cs="Arial"/>
          <w:color w:val="000000"/>
          <w:lang w:val="en-GB"/>
        </w:rPr>
        <w:t>Total t</w:t>
      </w:r>
      <w:r w:rsidR="00C20031" w:rsidRPr="007A4FAA">
        <w:rPr>
          <w:rFonts w:ascii="Arial" w:hAnsi="Arial" w:cs="Arial"/>
          <w:color w:val="000000"/>
          <w:lang w:val="en-GB"/>
        </w:rPr>
        <w:t xml:space="preserve">echnical provisions must agree </w:t>
      </w:r>
      <w:r w:rsidRPr="007A4FAA">
        <w:rPr>
          <w:rFonts w:ascii="Arial" w:hAnsi="Arial" w:cs="Arial"/>
          <w:color w:val="000000"/>
          <w:lang w:val="en-GB"/>
        </w:rPr>
        <w:t>with QSR 002 column C as below:</w:t>
      </w:r>
    </w:p>
    <w:p w14:paraId="6F309924" w14:textId="77777777" w:rsidR="007530AB" w:rsidRPr="00AB6843" w:rsidRDefault="007530AB" w:rsidP="007530AB">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QSR240 Col Q</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366FF124" w14:textId="77777777" w:rsidR="007530AB" w:rsidRPr="000E2114" w:rsidRDefault="007530AB" w:rsidP="007530AB">
      <w:pPr>
        <w:spacing w:line="280" w:lineRule="atLeast"/>
        <w:rPr>
          <w:rFonts w:ascii="Arial" w:hAnsi="Arial" w:cs="Arial"/>
          <w:lang w:eastAsia="en-US"/>
        </w:rPr>
      </w:pPr>
      <w:r w:rsidRPr="000E2114">
        <w:rPr>
          <w:rFonts w:ascii="Arial" w:hAnsi="Arial" w:cs="Arial"/>
          <w:lang w:eastAsia="en-US"/>
        </w:rPr>
        <w:t>TPs calculated as a whole        Line 1 + 12                                             Line 53 + 57</w:t>
      </w:r>
    </w:p>
    <w:p w14:paraId="7F82BDAD" w14:textId="77777777" w:rsidR="007530AB" w:rsidRPr="00FC1F59" w:rsidRDefault="007530AB" w:rsidP="007530AB">
      <w:pPr>
        <w:spacing w:line="280" w:lineRule="atLeast"/>
        <w:rPr>
          <w:rFonts w:ascii="Arial" w:hAnsi="Arial" w:cs="Arial"/>
          <w:lang w:eastAsia="en-US"/>
        </w:rPr>
      </w:pPr>
      <w:r w:rsidRPr="00FC1F59">
        <w:rPr>
          <w:rFonts w:ascii="Arial" w:hAnsi="Arial" w:cs="Arial"/>
          <w:lang w:eastAsia="en-US"/>
        </w:rPr>
        <w:t>Best estimate                            Line 9 + 13                                             Line 54 + 58</w:t>
      </w:r>
    </w:p>
    <w:p w14:paraId="55B3A09D" w14:textId="77777777" w:rsidR="007530AB" w:rsidRDefault="007530AB" w:rsidP="007530AB">
      <w:pPr>
        <w:spacing w:line="280" w:lineRule="atLeast"/>
        <w:rPr>
          <w:rFonts w:ascii="Arial" w:hAnsi="Arial" w:cs="Arial"/>
          <w:lang w:eastAsia="en-US"/>
        </w:rPr>
      </w:pPr>
      <w:r w:rsidRPr="00655C39">
        <w:rPr>
          <w:rFonts w:ascii="Arial" w:hAnsi="Arial" w:cs="Arial"/>
          <w:lang w:eastAsia="en-US"/>
        </w:rPr>
        <w:t>Risk margin                               Line 11 + 14                                           Line 55 + 59</w:t>
      </w:r>
    </w:p>
    <w:p w14:paraId="67259028" w14:textId="77777777" w:rsidR="000E2114" w:rsidRPr="000E2114" w:rsidRDefault="000E2114" w:rsidP="007530AB">
      <w:pPr>
        <w:spacing w:line="280" w:lineRule="atLeast"/>
        <w:rPr>
          <w:rFonts w:ascii="Arial" w:hAnsi="Arial" w:cs="Arial"/>
          <w:lang w:eastAsia="en-US"/>
        </w:rPr>
      </w:pPr>
      <w:r>
        <w:rPr>
          <w:rFonts w:ascii="Arial" w:hAnsi="Arial" w:cs="Arial"/>
          <w:lang w:eastAsia="en-US"/>
        </w:rPr>
        <w:t xml:space="preserve">Gross technical provisions        Line 15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271848AB" w14:textId="77777777" w:rsidR="007530AB" w:rsidRDefault="007530AB" w:rsidP="007530AB">
      <w:pPr>
        <w:spacing w:line="280" w:lineRule="atLeast"/>
        <w:rPr>
          <w:rFonts w:ascii="Arial" w:hAnsi="Arial" w:cs="Arial"/>
          <w:lang w:eastAsia="en-US"/>
        </w:rPr>
      </w:pPr>
      <w:r w:rsidRPr="00FC1F59">
        <w:rPr>
          <w:rFonts w:ascii="Arial" w:hAnsi="Arial" w:cs="Arial"/>
          <w:lang w:eastAsia="en-US"/>
        </w:rPr>
        <w:t>Reinsurance recoverable          Line 16                                                           Line 38</w:t>
      </w:r>
    </w:p>
    <w:p w14:paraId="69A87E71" w14:textId="77777777" w:rsidR="000E2114" w:rsidRDefault="000E2114" w:rsidP="007530AB">
      <w:pPr>
        <w:spacing w:line="280" w:lineRule="atLeast"/>
        <w:rPr>
          <w:rFonts w:ascii="Arial" w:hAnsi="Arial" w:cs="Arial"/>
          <w:lang w:eastAsia="en-US"/>
        </w:rPr>
      </w:pPr>
    </w:p>
    <w:p w14:paraId="0007A958" w14:textId="77777777" w:rsidR="00A52BA2" w:rsidRPr="000E2114" w:rsidRDefault="000E2114" w:rsidP="007530AB">
      <w:pPr>
        <w:spacing w:line="280" w:lineRule="atLeast"/>
        <w:rPr>
          <w:rFonts w:ascii="Arial" w:hAnsi="Arial" w:cs="Arial"/>
          <w:lang w:eastAsia="en-US"/>
        </w:rPr>
      </w:pPr>
      <w:r>
        <w:rPr>
          <w:rFonts w:ascii="Arial" w:hAnsi="Arial" w:cs="Arial"/>
          <w:lang w:eastAsia="en-US"/>
        </w:rPr>
        <w:t xml:space="preserve">                                                </w:t>
      </w:r>
    </w:p>
    <w:p w14:paraId="0F76154C" w14:textId="77777777" w:rsidR="00AD7A26" w:rsidRPr="00AB6843" w:rsidRDefault="00C20031" w:rsidP="006C5EE3">
      <w:pPr>
        <w:pStyle w:val="ListParagraph"/>
        <w:widowControl w:val="0"/>
        <w:numPr>
          <w:ilvl w:val="0"/>
          <w:numId w:val="5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AB6843">
        <w:rPr>
          <w:rFonts w:ascii="Arial" w:hAnsi="Arial" w:cs="Arial"/>
          <w:color w:val="000000"/>
          <w:lang w:val="en-GB"/>
        </w:rPr>
        <w:t>Validations have been implemented t</w:t>
      </w:r>
      <w:r w:rsidR="00AD7A26" w:rsidRPr="007A4FAA">
        <w:rPr>
          <w:rFonts w:ascii="Arial" w:hAnsi="Arial" w:cs="Arial"/>
          <w:lang w:val="en-GB" w:eastAsia="en-US"/>
        </w:rPr>
        <w:t>o ensure that non-life technical provisions as split between ‘non-life (excluding health’) and ‘health (similar to non-life)’ are consistent between QSR002 and QSR240.</w:t>
      </w:r>
    </w:p>
    <w:p w14:paraId="401BCB44" w14:textId="77777777" w:rsidR="00AD7A26" w:rsidRPr="007A4FAA" w:rsidRDefault="00AD7A26" w:rsidP="00AD7A26">
      <w:pPr>
        <w:spacing w:line="280" w:lineRule="atLeast"/>
        <w:rPr>
          <w:rFonts w:ascii="Arial" w:hAnsi="Arial" w:cs="Arial"/>
          <w:lang w:eastAsia="en-US"/>
        </w:rPr>
      </w:pPr>
    </w:p>
    <w:p w14:paraId="0551D48F" w14:textId="77777777" w:rsidR="00AD7A26" w:rsidRPr="005B478A" w:rsidRDefault="003215A7" w:rsidP="00AD7A26">
      <w:pPr>
        <w:spacing w:line="280" w:lineRule="atLeast"/>
        <w:rPr>
          <w:rFonts w:ascii="Arial" w:hAnsi="Arial" w:cs="Arial"/>
          <w:sz w:val="22"/>
          <w:szCs w:val="22"/>
          <w:lang w:eastAsia="en-US"/>
        </w:rPr>
      </w:pPr>
      <w:r>
        <w:rPr>
          <w:rFonts w:ascii="Arial" w:hAnsi="Arial" w:cs="Arial"/>
          <w:lang w:eastAsia="en-US"/>
        </w:rPr>
        <w:t>T</w:t>
      </w:r>
      <w:r w:rsidR="00AD7A26" w:rsidRPr="007A4FAA">
        <w:rPr>
          <w:rFonts w:ascii="Arial" w:hAnsi="Arial" w:cs="Arial"/>
          <w:lang w:eastAsia="en-US"/>
        </w:rPr>
        <w:t xml:space="preserve">echnical provisions assigned to columns </w:t>
      </w:r>
      <w:r w:rsidR="008E3D5C">
        <w:rPr>
          <w:rFonts w:ascii="Arial" w:hAnsi="Arial" w:cs="Arial"/>
          <w:lang w:eastAsia="en-US"/>
        </w:rPr>
        <w:t xml:space="preserve">A to C and M, </w:t>
      </w:r>
      <w:r w:rsidR="00AD7A26" w:rsidRPr="007A4FAA">
        <w:rPr>
          <w:rFonts w:ascii="Arial" w:hAnsi="Arial" w:cs="Arial"/>
          <w:lang w:eastAsia="en-US"/>
        </w:rPr>
        <w:t>in QSR240</w:t>
      </w:r>
      <w:r>
        <w:rPr>
          <w:rFonts w:ascii="Arial" w:hAnsi="Arial" w:cs="Arial"/>
          <w:lang w:eastAsia="en-US"/>
        </w:rPr>
        <w:t>,</w:t>
      </w:r>
      <w:r w:rsidR="00AD7A26" w:rsidRPr="007A4FAA">
        <w:rPr>
          <w:rFonts w:ascii="Arial" w:hAnsi="Arial" w:cs="Arial"/>
          <w:lang w:eastAsia="en-US"/>
        </w:rPr>
        <w:t xml:space="preserve"> must be reported as ‘health (similar to non-life)’ on QSR002 column C</w:t>
      </w:r>
      <w:r>
        <w:rPr>
          <w:rFonts w:ascii="Arial" w:hAnsi="Arial" w:cs="Arial"/>
          <w:lang w:eastAsia="en-US"/>
        </w:rPr>
        <w:t>:</w:t>
      </w:r>
    </w:p>
    <w:p w14:paraId="2F543829" w14:textId="77777777" w:rsidR="00AD7A26" w:rsidRPr="007A4FAA" w:rsidRDefault="00AD7A26" w:rsidP="00AD7A26">
      <w:pPr>
        <w:spacing w:line="280" w:lineRule="atLeast"/>
        <w:rPr>
          <w:rFonts w:ascii="Arial" w:hAnsi="Arial" w:cs="Arial"/>
          <w:lang w:eastAsia="en-US"/>
        </w:rPr>
      </w:pPr>
    </w:p>
    <w:p w14:paraId="4CFB37F0" w14:textId="77777777" w:rsidR="00AD7A26" w:rsidRPr="00AB6843" w:rsidRDefault="00AD7A26" w:rsidP="00AD7A26">
      <w:pPr>
        <w:spacing w:line="280" w:lineRule="atLeast"/>
        <w:rPr>
          <w:rFonts w:ascii="Arial" w:hAnsi="Arial" w:cs="Arial"/>
          <w:lang w:val="pt-BR" w:eastAsia="en-US"/>
        </w:rPr>
      </w:pPr>
      <w:r w:rsidRPr="00AB6843">
        <w:rPr>
          <w:rFonts w:ascii="Arial" w:hAnsi="Arial" w:cs="Arial"/>
          <w:u w:val="single"/>
          <w:lang w:val="pt-BR" w:eastAsia="en-US"/>
        </w:rPr>
        <w:t xml:space="preserve">Item </w:t>
      </w:r>
      <w:r w:rsidRPr="00AB6843">
        <w:rPr>
          <w:rFonts w:ascii="Arial" w:hAnsi="Arial" w:cs="Arial"/>
          <w:lang w:val="pt-BR" w:eastAsia="en-US"/>
        </w:rPr>
        <w:t xml:space="preserve">                                          </w:t>
      </w:r>
      <w:r w:rsidRPr="00AB6843">
        <w:rPr>
          <w:rFonts w:ascii="Arial" w:hAnsi="Arial" w:cs="Arial"/>
          <w:u w:val="single"/>
          <w:lang w:val="pt-BR" w:eastAsia="en-US"/>
        </w:rPr>
        <w:t>QSR240 Cols A+B+C+M</w:t>
      </w:r>
      <w:r w:rsidRPr="00AB6843">
        <w:rPr>
          <w:rFonts w:ascii="Arial" w:hAnsi="Arial" w:cs="Arial"/>
          <w:lang w:val="pt-BR" w:eastAsia="en-US"/>
        </w:rPr>
        <w:t xml:space="preserve">                        </w:t>
      </w:r>
      <w:r w:rsidRPr="00AB6843">
        <w:rPr>
          <w:rFonts w:ascii="Arial" w:hAnsi="Arial" w:cs="Arial"/>
          <w:u w:val="single"/>
          <w:lang w:val="pt-BR" w:eastAsia="en-US"/>
        </w:rPr>
        <w:t>QSR002 Col C</w:t>
      </w:r>
    </w:p>
    <w:p w14:paraId="5C9DD11F"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TPs calculated as a whole        Line 1 </w:t>
      </w:r>
      <w:r w:rsidR="005B478A" w:rsidRPr="007A4FAA">
        <w:rPr>
          <w:rFonts w:ascii="Arial" w:hAnsi="Arial" w:cs="Arial"/>
          <w:lang w:eastAsia="en-US"/>
        </w:rPr>
        <w:t>+ 12</w:t>
      </w:r>
      <w:r w:rsidRPr="007A4FAA">
        <w:rPr>
          <w:rFonts w:ascii="Arial" w:hAnsi="Arial" w:cs="Arial"/>
          <w:lang w:eastAsia="en-US"/>
        </w:rPr>
        <w:t xml:space="preserve">                                              Line 57</w:t>
      </w:r>
    </w:p>
    <w:p w14:paraId="2D6C716C"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Best estimate                            Line 9 </w:t>
      </w:r>
      <w:r w:rsidR="001603D0">
        <w:rPr>
          <w:rFonts w:ascii="Arial" w:hAnsi="Arial" w:cs="Arial"/>
          <w:lang w:eastAsia="en-US"/>
        </w:rPr>
        <w:t>+ 13</w:t>
      </w:r>
      <w:r w:rsidRPr="007A4FAA">
        <w:rPr>
          <w:rFonts w:ascii="Arial" w:hAnsi="Arial" w:cs="Arial"/>
          <w:lang w:eastAsia="en-US"/>
        </w:rPr>
        <w:t xml:space="preserve">                                              Line 58</w:t>
      </w:r>
    </w:p>
    <w:p w14:paraId="344809F0"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Risk margin                               Line 11 </w:t>
      </w:r>
      <w:r w:rsidR="001603D0">
        <w:rPr>
          <w:rFonts w:ascii="Arial" w:hAnsi="Arial" w:cs="Arial"/>
          <w:lang w:eastAsia="en-US"/>
        </w:rPr>
        <w:t>+ 14</w:t>
      </w:r>
      <w:r w:rsidRPr="007A4FAA">
        <w:rPr>
          <w:rFonts w:ascii="Arial" w:hAnsi="Arial" w:cs="Arial"/>
          <w:lang w:eastAsia="en-US"/>
        </w:rPr>
        <w:t xml:space="preserve">                                            Line 59</w:t>
      </w:r>
    </w:p>
    <w:p w14:paraId="4AB1FD86"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Reinsurance recoverable          Line 16                                                    Line 37</w:t>
      </w:r>
    </w:p>
    <w:p w14:paraId="2957E682" w14:textId="5D6846A3" w:rsidR="00AD7A26" w:rsidRDefault="00AD7A26" w:rsidP="00AD7A26">
      <w:pPr>
        <w:spacing w:line="280" w:lineRule="atLeast"/>
        <w:rPr>
          <w:rFonts w:ascii="Arial" w:hAnsi="Arial" w:cs="Arial"/>
          <w:sz w:val="22"/>
          <w:szCs w:val="22"/>
          <w:lang w:eastAsia="en-US"/>
        </w:rPr>
      </w:pPr>
    </w:p>
    <w:p w14:paraId="046AB80E" w14:textId="77777777" w:rsidR="006B3ACE" w:rsidRPr="005B478A" w:rsidRDefault="006B3ACE" w:rsidP="00AD7A26">
      <w:pPr>
        <w:spacing w:line="280" w:lineRule="atLeast"/>
        <w:rPr>
          <w:rFonts w:ascii="Arial" w:hAnsi="Arial" w:cs="Arial"/>
          <w:sz w:val="22"/>
          <w:szCs w:val="22"/>
          <w:lang w:eastAsia="en-US"/>
        </w:rPr>
      </w:pPr>
    </w:p>
    <w:p w14:paraId="2C32C120" w14:textId="77777777" w:rsidR="00AD7A26" w:rsidRPr="00AB6843" w:rsidRDefault="00AD7A26" w:rsidP="006C5EE3">
      <w:pPr>
        <w:pStyle w:val="ListParagraph"/>
        <w:numPr>
          <w:ilvl w:val="0"/>
          <w:numId w:val="54"/>
        </w:numPr>
        <w:spacing w:line="280" w:lineRule="atLeast"/>
        <w:rPr>
          <w:rFonts w:ascii="Arial" w:hAnsi="Arial" w:cs="Arial"/>
          <w:lang w:val="en-GB" w:eastAsia="en-US"/>
        </w:rPr>
      </w:pPr>
      <w:r w:rsidRPr="00AB6843">
        <w:rPr>
          <w:rFonts w:ascii="Arial" w:hAnsi="Arial" w:cs="Arial"/>
          <w:lang w:val="en-GB" w:eastAsia="en-US"/>
        </w:rPr>
        <w:t xml:space="preserve">All </w:t>
      </w:r>
      <w:r w:rsidRPr="007A4FAA">
        <w:rPr>
          <w:rFonts w:ascii="Arial" w:hAnsi="Arial" w:cs="Arial"/>
          <w:lang w:val="en-GB" w:eastAsia="en-US"/>
        </w:rPr>
        <w:t>other</w:t>
      </w:r>
      <w:r w:rsidR="0087072F" w:rsidRPr="007A4FAA">
        <w:rPr>
          <w:rFonts w:ascii="Arial" w:hAnsi="Arial" w:cs="Arial"/>
          <w:lang w:val="en-GB" w:eastAsia="en-US"/>
        </w:rPr>
        <w:t xml:space="preserve"> technical provision</w:t>
      </w:r>
      <w:r w:rsidRPr="007A4FAA">
        <w:rPr>
          <w:rFonts w:ascii="Arial" w:hAnsi="Arial" w:cs="Arial"/>
          <w:lang w:val="en-GB" w:eastAsia="en-US"/>
        </w:rPr>
        <w:t xml:space="preserve"> items on QSR240</w:t>
      </w:r>
      <w:r w:rsidR="00DC23AD" w:rsidRPr="007A4FAA">
        <w:rPr>
          <w:rFonts w:ascii="Arial" w:hAnsi="Arial" w:cs="Arial"/>
          <w:lang w:val="en-GB" w:eastAsia="en-US"/>
        </w:rPr>
        <w:t xml:space="preserve">, </w:t>
      </w:r>
      <w:r w:rsidRPr="007A4FAA">
        <w:rPr>
          <w:rFonts w:ascii="Arial" w:hAnsi="Arial" w:cs="Arial"/>
          <w:lang w:val="en-GB" w:eastAsia="en-US"/>
        </w:rPr>
        <w:t>columns D to L</w:t>
      </w:r>
      <w:r w:rsidR="00063E6E" w:rsidRPr="007A4FAA">
        <w:rPr>
          <w:rFonts w:ascii="Arial" w:hAnsi="Arial" w:cs="Arial"/>
          <w:lang w:val="en-GB" w:eastAsia="en-US"/>
        </w:rPr>
        <w:t xml:space="preserve"> and </w:t>
      </w:r>
      <w:r w:rsidRPr="007A4FAA">
        <w:rPr>
          <w:rFonts w:ascii="Arial" w:hAnsi="Arial" w:cs="Arial"/>
          <w:lang w:val="en-GB" w:eastAsia="en-US"/>
        </w:rPr>
        <w:t>N</w:t>
      </w:r>
      <w:r w:rsidR="00063E6E" w:rsidRPr="007A4FAA">
        <w:rPr>
          <w:rFonts w:ascii="Arial" w:hAnsi="Arial" w:cs="Arial"/>
          <w:lang w:val="en-GB" w:eastAsia="en-US"/>
        </w:rPr>
        <w:t xml:space="preserve"> to</w:t>
      </w:r>
      <w:r w:rsidRPr="007A4FAA">
        <w:rPr>
          <w:rFonts w:ascii="Arial" w:hAnsi="Arial" w:cs="Arial"/>
          <w:lang w:val="en-GB" w:eastAsia="en-US"/>
        </w:rPr>
        <w:t xml:space="preserve"> P</w:t>
      </w:r>
      <w:r w:rsidR="00063E6E" w:rsidRPr="007A4FAA">
        <w:rPr>
          <w:rFonts w:ascii="Arial" w:hAnsi="Arial" w:cs="Arial"/>
          <w:lang w:val="en-GB" w:eastAsia="en-US"/>
        </w:rPr>
        <w:t>,</w:t>
      </w:r>
      <w:r w:rsidRPr="007A4FAA">
        <w:rPr>
          <w:rFonts w:ascii="Arial" w:hAnsi="Arial" w:cs="Arial"/>
          <w:lang w:val="en-GB" w:eastAsia="en-US"/>
        </w:rPr>
        <w:t xml:space="preserve"> </w:t>
      </w:r>
      <w:r w:rsidRPr="007A4FAA">
        <w:rPr>
          <w:rFonts w:ascii="Arial" w:hAnsi="Arial" w:cs="Arial"/>
          <w:b/>
          <w:lang w:val="en-GB" w:eastAsia="en-US"/>
        </w:rPr>
        <w:t>in aggregate</w:t>
      </w:r>
      <w:r w:rsidRPr="007A4FAA">
        <w:rPr>
          <w:rFonts w:ascii="Arial" w:hAnsi="Arial" w:cs="Arial"/>
          <w:lang w:val="en-GB" w:eastAsia="en-US"/>
        </w:rPr>
        <w:t xml:space="preserve"> must be </w:t>
      </w:r>
      <w:r w:rsidR="00063E6E" w:rsidRPr="007A4FAA">
        <w:rPr>
          <w:rFonts w:ascii="Arial" w:hAnsi="Arial" w:cs="Arial"/>
          <w:lang w:val="en-GB" w:eastAsia="en-US"/>
        </w:rPr>
        <w:t>reported as ‘non-life</w:t>
      </w:r>
      <w:r w:rsidR="00063E6E" w:rsidRPr="00AB6843">
        <w:rPr>
          <w:rFonts w:ascii="Arial" w:hAnsi="Arial" w:cs="Arial"/>
          <w:lang w:val="en-GB" w:eastAsia="en-US"/>
        </w:rPr>
        <w:t xml:space="preserve"> excluding health’ </w:t>
      </w:r>
      <w:r w:rsidR="00C20031" w:rsidRPr="00AB6843">
        <w:rPr>
          <w:rFonts w:ascii="Arial" w:hAnsi="Arial" w:cs="Arial"/>
          <w:lang w:val="en-GB" w:eastAsia="en-US"/>
        </w:rPr>
        <w:t>on</w:t>
      </w:r>
      <w:r w:rsidR="00063E6E" w:rsidRPr="00AB6843">
        <w:rPr>
          <w:rFonts w:ascii="Arial" w:hAnsi="Arial" w:cs="Arial"/>
          <w:lang w:val="en-GB" w:eastAsia="en-US"/>
        </w:rPr>
        <w:t xml:space="preserve"> </w:t>
      </w:r>
      <w:r w:rsidRPr="00AB6843">
        <w:rPr>
          <w:rFonts w:ascii="Arial" w:hAnsi="Arial" w:cs="Arial"/>
          <w:lang w:val="en-GB" w:eastAsia="en-US"/>
        </w:rPr>
        <w:t>QSR002 Col C</w:t>
      </w:r>
      <w:r w:rsidR="001B776B" w:rsidRPr="00AB6843">
        <w:rPr>
          <w:rFonts w:ascii="Arial" w:hAnsi="Arial" w:cs="Arial"/>
          <w:lang w:val="en-GB" w:eastAsia="en-US"/>
        </w:rPr>
        <w:t>:</w:t>
      </w:r>
    </w:p>
    <w:p w14:paraId="3227AF6F" w14:textId="77777777" w:rsidR="001B776B" w:rsidRDefault="001B776B" w:rsidP="00AD7A26">
      <w:pPr>
        <w:spacing w:line="280" w:lineRule="atLeast"/>
        <w:rPr>
          <w:rFonts w:ascii="Arial" w:hAnsi="Arial" w:cs="Arial"/>
          <w:lang w:eastAsia="en-US"/>
        </w:rPr>
      </w:pPr>
    </w:p>
    <w:p w14:paraId="378201C0" w14:textId="77777777" w:rsidR="001B776B" w:rsidRPr="00BE5E9D" w:rsidRDefault="001B776B" w:rsidP="001B776B">
      <w:pPr>
        <w:spacing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Pr="00BE5E9D">
        <w:rPr>
          <w:rFonts w:ascii="Arial" w:hAnsi="Arial" w:cs="Arial"/>
          <w:u w:val="single"/>
          <w:lang w:eastAsia="en-US"/>
        </w:rPr>
        <w:t xml:space="preserve">QSR240 Cols </w:t>
      </w:r>
      <w:r w:rsidR="008E3D5C">
        <w:rPr>
          <w:rFonts w:ascii="Arial" w:hAnsi="Arial" w:cs="Arial"/>
          <w:u w:val="single"/>
          <w:lang w:eastAsia="en-US"/>
        </w:rPr>
        <w:t xml:space="preserve">D to L </w:t>
      </w:r>
      <w:r w:rsidRPr="00BE5E9D">
        <w:rPr>
          <w:rFonts w:ascii="Arial" w:hAnsi="Arial" w:cs="Arial"/>
          <w:u w:val="single"/>
          <w:lang w:eastAsia="en-US"/>
        </w:rPr>
        <w:t>+</w:t>
      </w:r>
      <w:r w:rsidR="008E3D5C">
        <w:rPr>
          <w:rFonts w:ascii="Arial" w:hAnsi="Arial" w:cs="Arial"/>
          <w:u w:val="single"/>
          <w:lang w:eastAsia="en-US"/>
        </w:rPr>
        <w:t xml:space="preserve"> N to P</w:t>
      </w:r>
      <w:r w:rsidRPr="00BE5E9D">
        <w:rPr>
          <w:rFonts w:ascii="Arial" w:hAnsi="Arial" w:cs="Arial"/>
          <w:lang w:eastAsia="en-US"/>
        </w:rPr>
        <w:t xml:space="preserve">                        </w:t>
      </w:r>
      <w:r w:rsidRPr="00BE5E9D">
        <w:rPr>
          <w:rFonts w:ascii="Arial" w:hAnsi="Arial" w:cs="Arial"/>
          <w:u w:val="single"/>
          <w:lang w:eastAsia="en-US"/>
        </w:rPr>
        <w:t>QSR002 Col C</w:t>
      </w:r>
    </w:p>
    <w:p w14:paraId="118A0715"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TPs calculated as a whole        Line </w:t>
      </w:r>
      <w:r w:rsidR="008E3D5C">
        <w:rPr>
          <w:rFonts w:ascii="Arial" w:hAnsi="Arial" w:cs="Arial"/>
          <w:lang w:eastAsia="en-US"/>
        </w:rPr>
        <w:t>1 + 12</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3</w:t>
      </w:r>
    </w:p>
    <w:p w14:paraId="773E6C6B"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Best estimate                            Line 9 </w:t>
      </w:r>
      <w:r>
        <w:rPr>
          <w:rFonts w:ascii="Arial" w:hAnsi="Arial" w:cs="Arial"/>
          <w:lang w:eastAsia="en-US"/>
        </w:rPr>
        <w:t>+ 13</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4</w:t>
      </w:r>
    </w:p>
    <w:p w14:paraId="30D24320"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lastRenderedPageBreak/>
        <w:t xml:space="preserve">Risk margin                               Line 11 </w:t>
      </w:r>
      <w:r>
        <w:rPr>
          <w:rFonts w:ascii="Arial" w:hAnsi="Arial" w:cs="Arial"/>
          <w:lang w:eastAsia="en-US"/>
        </w:rPr>
        <w:t>+ 14</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5</w:t>
      </w:r>
    </w:p>
    <w:p w14:paraId="0D65FF04" w14:textId="77777777" w:rsidR="001B776B" w:rsidRDefault="001B776B" w:rsidP="001B776B">
      <w:pPr>
        <w:spacing w:line="280" w:lineRule="atLeast"/>
        <w:rPr>
          <w:rFonts w:ascii="Arial" w:hAnsi="Arial" w:cs="Arial"/>
          <w:lang w:eastAsia="en-US"/>
        </w:rPr>
      </w:pPr>
      <w:r w:rsidRPr="00BE5E9D">
        <w:rPr>
          <w:rFonts w:ascii="Arial" w:hAnsi="Arial" w:cs="Arial"/>
          <w:lang w:eastAsia="en-US"/>
        </w:rPr>
        <w:t xml:space="preserve">Reinsurance recoverable          Line 16                                                    </w:t>
      </w:r>
      <w:r w:rsidR="008E3D5C">
        <w:rPr>
          <w:rFonts w:ascii="Arial" w:hAnsi="Arial" w:cs="Arial"/>
          <w:lang w:eastAsia="en-US"/>
        </w:rPr>
        <w:t xml:space="preserve">       </w:t>
      </w:r>
      <w:r w:rsidRPr="00BE5E9D">
        <w:rPr>
          <w:rFonts w:ascii="Arial" w:hAnsi="Arial" w:cs="Arial"/>
          <w:lang w:eastAsia="en-US"/>
        </w:rPr>
        <w:t>Line 3</w:t>
      </w:r>
      <w:r w:rsidR="008E3D5C">
        <w:rPr>
          <w:rFonts w:ascii="Arial" w:hAnsi="Arial" w:cs="Arial"/>
          <w:lang w:eastAsia="en-US"/>
        </w:rPr>
        <w:t>6</w:t>
      </w:r>
    </w:p>
    <w:p w14:paraId="1CF4EE82" w14:textId="77777777" w:rsidR="002E3CAB" w:rsidRPr="007A4FAA" w:rsidRDefault="002E3CAB" w:rsidP="004D4532">
      <w:pPr>
        <w:spacing w:line="280" w:lineRule="atLeast"/>
        <w:rPr>
          <w:rFonts w:ascii="Arial" w:hAnsi="Arial" w:cs="Arial"/>
          <w:lang w:eastAsia="en-US"/>
        </w:rPr>
      </w:pPr>
      <w:bookmarkStart w:id="2856" w:name="_Hlk23173279"/>
    </w:p>
    <w:p w14:paraId="2870636C" w14:textId="7441173E" w:rsidR="00BC1761" w:rsidRPr="00FC1F59" w:rsidRDefault="000E2114" w:rsidP="007A4FAA">
      <w:pPr>
        <w:spacing w:line="280" w:lineRule="atLeast"/>
        <w:rPr>
          <w:rFonts w:ascii="Arial" w:hAnsi="Arial" w:cs="Arial"/>
          <w:lang w:eastAsia="en-US"/>
        </w:rPr>
      </w:pPr>
      <w:r w:rsidRPr="007A4FAA">
        <w:rPr>
          <w:rFonts w:ascii="Arial" w:hAnsi="Arial" w:cs="Arial"/>
          <w:b/>
          <w:lang w:eastAsia="en-US"/>
        </w:rPr>
        <w:t>Risk margin:</w:t>
      </w:r>
      <w:r>
        <w:rPr>
          <w:rFonts w:ascii="Arial" w:hAnsi="Arial" w:cs="Arial"/>
          <w:lang w:eastAsia="en-US"/>
        </w:rPr>
        <w:t xml:space="preserve"> </w:t>
      </w:r>
      <w:r w:rsidR="002915B0">
        <w:rPr>
          <w:rFonts w:ascii="Arial" w:hAnsi="Arial" w:cs="Arial"/>
          <w:color w:val="000000"/>
        </w:rPr>
        <w:t>V</w:t>
      </w:r>
      <w:r w:rsidR="00BC1761">
        <w:rPr>
          <w:rFonts w:ascii="Arial" w:hAnsi="Arial" w:cs="Arial"/>
          <w:color w:val="000000"/>
        </w:rPr>
        <w:t>alidations have been implemented where i</w:t>
      </w:r>
      <w:r w:rsidR="00BC1761">
        <w:rPr>
          <w:rFonts w:ascii="Arial" w:hAnsi="Arial" w:cs="Arial"/>
        </w:rPr>
        <w:t>f a best estimate is reported then a corresponding risk margin should also be reported</w:t>
      </w:r>
      <w:r w:rsidR="00084DA6">
        <w:rPr>
          <w:rFonts w:ascii="Arial" w:hAnsi="Arial" w:cs="Arial"/>
        </w:rPr>
        <w:t xml:space="preserve"> (</w:t>
      </w:r>
      <w:r w:rsidR="00C86163">
        <w:rPr>
          <w:rFonts w:ascii="Arial" w:hAnsi="Arial" w:cs="Arial"/>
        </w:rPr>
        <w:t>Error changed to Warning</w:t>
      </w:r>
      <w:r w:rsidR="00084DA6">
        <w:rPr>
          <w:rFonts w:ascii="Arial" w:hAnsi="Arial" w:cs="Arial"/>
        </w:rPr>
        <w:t>)</w:t>
      </w:r>
      <w:r w:rsidR="00BC1761">
        <w:rPr>
          <w:rFonts w:ascii="Arial" w:hAnsi="Arial" w:cs="Arial"/>
        </w:rPr>
        <w:t>. Otherwise</w:t>
      </w:r>
      <w:r w:rsidR="00BB7D1A">
        <w:rPr>
          <w:rFonts w:ascii="Arial" w:hAnsi="Arial" w:cs="Arial"/>
        </w:rPr>
        <w:t>,</w:t>
      </w:r>
      <w:r w:rsidR="00BC1761">
        <w:rPr>
          <w:rFonts w:ascii="Arial" w:hAnsi="Arial" w:cs="Arial"/>
        </w:rPr>
        <w:t xml:space="preserve"> if best estimate is nil, corresponding risk margin must also be nil</w:t>
      </w:r>
      <w:r w:rsidR="00DC3170">
        <w:rPr>
          <w:rFonts w:ascii="Arial" w:hAnsi="Arial" w:cs="Arial"/>
        </w:rPr>
        <w:t xml:space="preserve"> (Error)</w:t>
      </w:r>
      <w:r w:rsidR="00BC1761">
        <w:rPr>
          <w:rFonts w:ascii="Arial" w:hAnsi="Arial" w:cs="Arial"/>
        </w:rPr>
        <w:t>.</w:t>
      </w:r>
    </w:p>
    <w:bookmarkEnd w:id="2856"/>
    <w:p w14:paraId="609FC8D1" w14:textId="2B438344" w:rsidR="00BF3278" w:rsidRDefault="00BF3278"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CE7E78B"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9</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57" w:name="_Toc352675393"/>
      <w:bookmarkStart w:id="2858" w:name="_Toc343003055"/>
      <w:r w:rsidR="0005280D" w:rsidRPr="00285149">
        <w:rPr>
          <w:rFonts w:ascii="Arial" w:hAnsi="Arial" w:cs="Arial"/>
          <w:b/>
          <w:sz w:val="22"/>
          <w:szCs w:val="22"/>
        </w:rPr>
        <w:t>SR280: Life Technical Provisions</w:t>
      </w:r>
      <w:bookmarkEnd w:id="2857"/>
      <w:r w:rsidR="0005280D" w:rsidRPr="00285149">
        <w:rPr>
          <w:rFonts w:ascii="Arial" w:hAnsi="Arial" w:cs="Arial"/>
          <w:b/>
          <w:sz w:val="22"/>
          <w:szCs w:val="22"/>
        </w:rPr>
        <w:t xml:space="preserve"> </w:t>
      </w:r>
      <w:bookmarkEnd w:id="2858"/>
      <w:r w:rsidR="00B10075">
        <w:rPr>
          <w:rFonts w:ascii="Arial" w:hAnsi="Arial" w:cs="Arial"/>
          <w:b/>
          <w:sz w:val="22"/>
          <w:szCs w:val="22"/>
        </w:rPr>
        <w:t>(S.12.01.02)</w:t>
      </w:r>
    </w:p>
    <w:p w14:paraId="17AAB5BC"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0B0AB90E"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t>
      </w:r>
    </w:p>
    <w:p w14:paraId="3569F3B3"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3CB6FAE9" w14:textId="2C620D90" w:rsidR="0005280D" w:rsidRPr="001603F1"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 xml:space="preserve">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This </w:t>
      </w:r>
      <w:r w:rsidRPr="001110AF">
        <w:rPr>
          <w:rFonts w:ascii="Arial" w:hAnsi="Arial" w:cs="Arial"/>
          <w:color w:val="000000"/>
          <w:sz w:val="20"/>
          <w:lang w:val="en-GB" w:eastAsia="en-GB"/>
        </w:rPr>
        <w:t>may be</w:t>
      </w:r>
      <w:r w:rsidRPr="001110AF">
        <w:rPr>
          <w:rFonts w:ascii="Arial" w:hAnsi="Arial" w:cs="Arial"/>
          <w:sz w:val="20"/>
          <w:lang w:val="en-GB"/>
        </w:rPr>
        <w:t xml:space="preserve"> accessed via the following link:</w:t>
      </w:r>
      <w:r w:rsidR="002005E1" w:rsidRPr="001110AF">
        <w:rPr>
          <w:rFonts w:ascii="Arial" w:hAnsi="Arial" w:cs="Arial"/>
          <w:sz w:val="20"/>
          <w:lang w:val="en-GB"/>
        </w:rPr>
        <w:t xml:space="preserve"> </w:t>
      </w:r>
      <w:hyperlink r:id="rId38" w:history="1">
        <w:r w:rsidR="00665DE6" w:rsidRPr="00154369">
          <w:rPr>
            <w:rStyle w:val="Hyperlink"/>
            <w:rFonts w:ascii="Arial" w:hAnsi="Arial" w:cs="Arial"/>
            <w:sz w:val="20"/>
            <w:lang w:val="en-GB"/>
          </w:rPr>
          <w:t>Risk code mapping to Solvency II class of business</w:t>
        </w:r>
      </w:hyperlink>
    </w:p>
    <w:p w14:paraId="52C4912A"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discounted cash flows.</w:t>
      </w:r>
    </w:p>
    <w:p w14:paraId="5A01CDE6"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1244E20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79ECD9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224352BC" w14:textId="77777777" w:rsidR="0005280D"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7A4FAA">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w:t>
      </w:r>
      <w:r w:rsidR="00C37E60">
        <w:rPr>
          <w:rFonts w:ascii="Arial" w:hAnsi="Arial" w:cs="Arial"/>
          <w:color w:val="000000"/>
        </w:rPr>
        <w:t xml:space="preserve">be less than or equal </w:t>
      </w:r>
      <w:r w:rsidR="0005280D">
        <w:rPr>
          <w:rFonts w:ascii="Arial" w:hAnsi="Arial" w:cs="Arial"/>
          <w:color w:val="000000"/>
        </w:rPr>
        <w:t xml:space="preserve"> to that reported in the balance sheet as follows:</w:t>
      </w:r>
    </w:p>
    <w:p w14:paraId="0BC9C773" w14:textId="77777777" w:rsidR="00FC31C4" w:rsidRPr="00AB6843" w:rsidRDefault="00FC31C4" w:rsidP="00FC31C4">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w:t>
      </w:r>
      <w:r w:rsidR="00583B85" w:rsidRPr="00AB6843">
        <w:rPr>
          <w:rFonts w:ascii="Arial" w:hAnsi="Arial" w:cs="Arial"/>
          <w:u w:val="single"/>
          <w:lang w:val="it-IT" w:eastAsia="en-US"/>
        </w:rPr>
        <w:t>8</w:t>
      </w:r>
      <w:r w:rsidRPr="00AB6843">
        <w:rPr>
          <w:rFonts w:ascii="Arial" w:hAnsi="Arial" w:cs="Arial"/>
          <w:u w:val="single"/>
          <w:lang w:val="it-IT" w:eastAsia="en-US"/>
        </w:rPr>
        <w:t>0 Col</w:t>
      </w:r>
      <w:r w:rsidR="00583B85" w:rsidRPr="00AB6843">
        <w:rPr>
          <w:rFonts w:ascii="Arial" w:hAnsi="Arial" w:cs="Arial"/>
          <w:u w:val="single"/>
          <w:lang w:val="it-IT" w:eastAsia="en-US"/>
        </w:rPr>
        <w:t xml:space="preserve"> F</w:t>
      </w:r>
      <w:r w:rsidRPr="00AB6843">
        <w:rPr>
          <w:rFonts w:ascii="Arial" w:hAnsi="Arial" w:cs="Arial"/>
          <w:lang w:val="it-IT" w:eastAsia="en-US"/>
        </w:rPr>
        <w:t xml:space="preserve">                        </w:t>
      </w:r>
      <w:r w:rsidR="00583B85" w:rsidRPr="00AB6843">
        <w:rPr>
          <w:rFonts w:ascii="Arial" w:hAnsi="Arial" w:cs="Arial"/>
          <w:lang w:val="it-IT" w:eastAsia="en-US"/>
        </w:rPr>
        <w:t xml:space="preserve">           </w:t>
      </w:r>
      <w:r w:rsidRPr="00AB6843">
        <w:rPr>
          <w:rFonts w:ascii="Arial" w:hAnsi="Arial" w:cs="Arial"/>
          <w:u w:val="single"/>
          <w:lang w:val="it-IT" w:eastAsia="en-US"/>
        </w:rPr>
        <w:t>QSR002 Col C</w:t>
      </w:r>
    </w:p>
    <w:p w14:paraId="56F52F6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3C038F">
        <w:rPr>
          <w:rFonts w:ascii="Arial" w:hAnsi="Arial" w:cs="Arial"/>
          <w:lang w:eastAsia="en-US"/>
        </w:rPr>
        <w:t>7</w:t>
      </w:r>
      <w:r w:rsidRPr="00BE5E9D">
        <w:rPr>
          <w:rFonts w:ascii="Arial" w:hAnsi="Arial" w:cs="Arial"/>
          <w:lang w:eastAsia="en-US"/>
        </w:rPr>
        <w:t xml:space="preserve">                                              </w:t>
      </w:r>
      <w:r>
        <w:rPr>
          <w:rFonts w:ascii="Arial" w:hAnsi="Arial" w:cs="Arial"/>
          <w:lang w:eastAsia="en-US"/>
        </w:rPr>
        <w:t xml:space="preserve">       </w:t>
      </w:r>
      <w:r w:rsidR="003C038F">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65</w:t>
      </w:r>
    </w:p>
    <w:p w14:paraId="1727D40A"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Best estimate                            Line </w:t>
      </w:r>
      <w:r w:rsidR="001101FE">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66</w:t>
      </w:r>
    </w:p>
    <w:p w14:paraId="6DFE4CC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Risk margin                               Line</w:t>
      </w:r>
      <w:r w:rsidR="001101FE">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9</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67</w:t>
      </w:r>
    </w:p>
    <w:p w14:paraId="4FD3B978" w14:textId="77777777" w:rsidR="00FC31C4" w:rsidRDefault="00FC31C4" w:rsidP="00FC31C4">
      <w:pPr>
        <w:spacing w:line="280" w:lineRule="atLeast"/>
        <w:rPr>
          <w:rFonts w:ascii="Arial" w:hAnsi="Arial" w:cs="Arial"/>
          <w:lang w:eastAsia="en-US"/>
        </w:rPr>
      </w:pPr>
      <w:r w:rsidRPr="00BE5E9D">
        <w:rPr>
          <w:rFonts w:ascii="Arial" w:hAnsi="Arial" w:cs="Arial"/>
          <w:lang w:eastAsia="en-US"/>
        </w:rPr>
        <w:t xml:space="preserve">Reinsurance recoverable          Line </w:t>
      </w:r>
      <w:r w:rsidR="000A5A44">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0A5A44">
        <w:rPr>
          <w:rFonts w:ascii="Arial" w:hAnsi="Arial" w:cs="Arial"/>
          <w:lang w:eastAsia="en-US"/>
        </w:rPr>
        <w:t>40</w:t>
      </w:r>
    </w:p>
    <w:p w14:paraId="087F0857" w14:textId="77777777" w:rsidR="002700DB" w:rsidRDefault="002700DB"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8E291F5" w14:textId="77777777" w:rsidR="006B3ACE" w:rsidRDefault="006B3ACE"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b/>
          <w:lang w:val="en-US"/>
        </w:rPr>
      </w:pPr>
      <w:bookmarkStart w:id="2859" w:name="_Hlk23173596"/>
    </w:p>
    <w:p w14:paraId="0A907FDA" w14:textId="28F2E25B" w:rsidR="00BC1761" w:rsidRDefault="000A5A44"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sidR="00BC1761">
        <w:rPr>
          <w:rFonts w:ascii="Arial" w:hAnsi="Arial" w:cs="Arial"/>
          <w:color w:val="000000"/>
        </w:rPr>
        <w:t xml:space="preserve">Additional validations have been implemented where, for each line of business, </w:t>
      </w:r>
      <w:r w:rsidR="00BC1761">
        <w:rPr>
          <w:rFonts w:ascii="Arial" w:hAnsi="Arial" w:cs="Arial"/>
        </w:rPr>
        <w:t>if best estimate is reported then a corresponding risk margin should be reported. Otherwise if best estimate is nil, corresponding risk margin must also be nil.</w:t>
      </w:r>
    </w:p>
    <w:bookmarkEnd w:id="2859"/>
    <w:p w14:paraId="30651C17" w14:textId="77777777" w:rsidR="00285149" w:rsidRDefault="00285149"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31F36218"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10</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60" w:name="_Toc352675395"/>
      <w:r w:rsidR="0005280D" w:rsidRPr="00285149">
        <w:rPr>
          <w:rFonts w:ascii="Arial" w:hAnsi="Arial" w:cs="Arial"/>
          <w:b/>
          <w:sz w:val="22"/>
          <w:szCs w:val="22"/>
        </w:rPr>
        <w:t>SR283: Health SLT Technical Provisions</w:t>
      </w:r>
      <w:bookmarkEnd w:id="2860"/>
      <w:r w:rsidR="0005280D" w:rsidRPr="00285149">
        <w:rPr>
          <w:rFonts w:ascii="Arial" w:hAnsi="Arial" w:cs="Arial"/>
          <w:b/>
          <w:sz w:val="22"/>
          <w:szCs w:val="22"/>
        </w:rPr>
        <w:t xml:space="preserve"> </w:t>
      </w:r>
      <w:r w:rsidR="00B10075">
        <w:rPr>
          <w:rFonts w:ascii="Arial" w:hAnsi="Arial" w:cs="Arial"/>
          <w:b/>
          <w:sz w:val="22"/>
          <w:szCs w:val="22"/>
        </w:rPr>
        <w:t>(S.12.01.02)</w:t>
      </w:r>
    </w:p>
    <w:p w14:paraId="6106EDFC"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61E4D06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lastRenderedPageBreak/>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221B38C3"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Similar to life techniques.</w:t>
      </w:r>
    </w:p>
    <w:p w14:paraId="095D5FAB"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t>The segmentation required on this form should reflect the nature of the risks underlying the contract (substance), rather than the legal form of the contract (form).</w:t>
      </w:r>
    </w:p>
    <w:p w14:paraId="5E2BD9E4" w14:textId="6D5CCF19" w:rsidR="00304F54" w:rsidRDefault="00304F54"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C81D49D" w14:textId="544F686A"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565804E" w14:textId="7ACC5CFF"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D18962E" w14:textId="0FFF36B2"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4CE1FD8A"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352F790" w14:textId="77777777" w:rsidR="007210DE"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The amounts reported in this form should agree to that reported in the balance sheet as follows:</w:t>
      </w:r>
    </w:p>
    <w:p w14:paraId="30F03331" w14:textId="77777777" w:rsidR="007210DE" w:rsidRPr="00AB6843" w:rsidRDefault="007210DE" w:rsidP="007210DE">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QSR283 Col F</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09E8BD84"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1 + 7</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1</w:t>
      </w:r>
    </w:p>
    <w:p w14:paraId="40BB14D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2</w:t>
      </w:r>
    </w:p>
    <w:p w14:paraId="641B7C8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+ 9</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3</w:t>
      </w:r>
    </w:p>
    <w:p w14:paraId="0D8553FD" w14:textId="77777777" w:rsidR="007210DE" w:rsidRDefault="007210DE" w:rsidP="007210DE">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3D3879">
        <w:rPr>
          <w:rFonts w:ascii="Arial" w:hAnsi="Arial" w:cs="Arial"/>
          <w:lang w:eastAsia="en-US"/>
        </w:rPr>
        <w:t>39</w:t>
      </w:r>
    </w:p>
    <w:p w14:paraId="4EF3B793" w14:textId="77777777" w:rsidR="007210DE" w:rsidRDefault="007210D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6D651C0" w14:textId="77777777" w:rsidR="006C66D6" w:rsidRDefault="006C66D6"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51F8C6A5" w14:textId="7A2B7AE0" w:rsidR="00BC1761" w:rsidRDefault="003D3879"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1" w:name="_Hlk23173633"/>
      <w:r>
        <w:rPr>
          <w:rFonts w:ascii="Arial" w:hAnsi="Arial" w:cs="Arial"/>
          <w:color w:val="000000"/>
        </w:rPr>
        <w:t xml:space="preserve">Risk margins: </w:t>
      </w:r>
      <w:r w:rsidR="00BC1761" w:rsidRPr="000B5F01">
        <w:rPr>
          <w:rFonts w:ascii="Arial" w:hAnsi="Arial" w:cs="Arial"/>
          <w:color w:val="000000"/>
        </w:rPr>
        <w:t>Additional validations have been implemented where</w:t>
      </w:r>
      <w:r w:rsidR="00BC1761">
        <w:rPr>
          <w:rFonts w:ascii="Arial" w:hAnsi="Arial" w:cs="Arial"/>
          <w:color w:val="000000"/>
        </w:rPr>
        <w:t>, for each line of business</w:t>
      </w:r>
      <w:r w:rsidR="00BC1761" w:rsidRPr="000B5F01">
        <w:rPr>
          <w:rFonts w:ascii="Arial" w:hAnsi="Arial" w:cs="Arial"/>
          <w:color w:val="000000"/>
        </w:rPr>
        <w:t xml:space="preserve"> </w:t>
      </w:r>
      <w:r w:rsidR="00BC1761">
        <w:rPr>
          <w:rFonts w:ascii="Arial" w:hAnsi="Arial" w:cs="Arial"/>
          <w:color w:val="000000"/>
        </w:rPr>
        <w:t>i</w:t>
      </w:r>
      <w:r w:rsidR="00BC1761">
        <w:rPr>
          <w:rFonts w:ascii="Arial" w:hAnsi="Arial" w:cs="Arial"/>
        </w:rPr>
        <w:t xml:space="preserve">f best estimate is not equal to zero then corresponding risk margin should not be equal to zero. Otherwise if best estimate is nil, corresponding risk margin must also be nil. </w:t>
      </w:r>
      <w:r w:rsidR="00BC1761" w:rsidRPr="000B5F01">
        <w:rPr>
          <w:rFonts w:ascii="Arial" w:hAnsi="Arial" w:cs="Arial"/>
          <w:color w:val="000000"/>
        </w:rPr>
        <w:t xml:space="preserve"> </w:t>
      </w:r>
    </w:p>
    <w:bookmarkEnd w:id="2861"/>
    <w:p w14:paraId="1FFCD703" w14:textId="3F445E59" w:rsidR="006C66D6" w:rsidRDefault="006C66D6"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3CE44550" w14:textId="680F6805" w:rsidR="00846FD3" w:rsidRP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b/>
          <w:color w:val="000000"/>
        </w:rPr>
        <w:t>Cross form validations with QSR 511</w:t>
      </w:r>
    </w:p>
    <w:p w14:paraId="69EAA3E3" w14:textId="077C943E" w:rsid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color w:val="000000"/>
        </w:rPr>
        <w:t>Annuities stemming from non-life insurance contracts and relating to health insurance obligations</w:t>
      </w:r>
      <w:r>
        <w:rPr>
          <w:rFonts w:ascii="Arial" w:hAnsi="Arial" w:cs="Arial"/>
          <w:color w:val="000000"/>
        </w:rPr>
        <w:t xml:space="preserve"> (Column E): </w:t>
      </w:r>
      <w:r w:rsidR="00C24293">
        <w:rPr>
          <w:rFonts w:ascii="Arial" w:hAnsi="Arial" w:cs="Arial"/>
          <w:color w:val="000000"/>
        </w:rPr>
        <w:t>a c</w:t>
      </w:r>
      <w:r>
        <w:rPr>
          <w:rFonts w:ascii="Arial" w:hAnsi="Arial" w:cs="Arial"/>
          <w:color w:val="000000"/>
        </w:rPr>
        <w:t>ross validation with QSR511 has been implemented where</w:t>
      </w:r>
      <w:r w:rsidR="00C24293">
        <w:rPr>
          <w:rFonts w:ascii="Arial" w:hAnsi="Arial" w:cs="Arial"/>
          <w:color w:val="000000"/>
        </w:rPr>
        <w:t xml:space="preserve"> if</w:t>
      </w:r>
      <w:r w:rsidR="00A60F7E">
        <w:rPr>
          <w:rFonts w:ascii="Arial" w:hAnsi="Arial" w:cs="Arial"/>
          <w:color w:val="000000"/>
        </w:rPr>
        <w:t xml:space="preserve"> </w:t>
      </w:r>
      <w:r>
        <w:rPr>
          <w:rFonts w:ascii="Arial" w:hAnsi="Arial" w:cs="Arial"/>
          <w:color w:val="000000"/>
        </w:rPr>
        <w:t xml:space="preserve">Column E is reported then QSR 511 </w:t>
      </w:r>
      <w:r w:rsidRPr="001013EA">
        <w:rPr>
          <w:rFonts w:ascii="Arial" w:hAnsi="Arial" w:cs="Arial"/>
          <w:i/>
          <w:iCs/>
          <w:color w:val="000000"/>
        </w:rPr>
        <w:t>Other life (re)insurance and health obligations</w:t>
      </w:r>
      <w:r>
        <w:rPr>
          <w:rFonts w:ascii="Arial" w:hAnsi="Arial" w:cs="Arial"/>
          <w:color w:val="000000"/>
        </w:rPr>
        <w:t xml:space="preserve"> or </w:t>
      </w:r>
      <w:r w:rsidRPr="001013EA">
        <w:rPr>
          <w:rFonts w:ascii="Arial" w:hAnsi="Arial" w:cs="Arial"/>
          <w:i/>
          <w:iCs/>
          <w:color w:val="000000"/>
        </w:rPr>
        <w:t>Total Capital at risk for all life (re)insurance obligations</w:t>
      </w:r>
      <w:r>
        <w:rPr>
          <w:rFonts w:ascii="Arial" w:hAnsi="Arial" w:cs="Arial"/>
          <w:color w:val="000000"/>
        </w:rPr>
        <w:t xml:space="preserve"> should be reported.</w:t>
      </w:r>
    </w:p>
    <w:p w14:paraId="2C41CF51" w14:textId="77777777" w:rsidR="00846FD3" w:rsidRPr="000B5F01"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FB5AA3B" w14:textId="77777777" w:rsidR="00384814" w:rsidRPr="00D61695" w:rsidRDefault="00562125" w:rsidP="001603F1">
      <w:pPr>
        <w:pStyle w:val="LloydsH3"/>
        <w:numPr>
          <w:ilvl w:val="0"/>
          <w:numId w:val="0"/>
        </w:numPr>
        <w:spacing w:after="120" w:line="280" w:lineRule="atLeast"/>
        <w:ind w:left="720" w:hanging="720"/>
        <w:rPr>
          <w:rFonts w:cs="Arial"/>
          <w:sz w:val="20"/>
          <w:lang w:val="en-US"/>
        </w:rPr>
      </w:pPr>
      <w:r>
        <w:rPr>
          <w:rFonts w:cs="Arial"/>
          <w:szCs w:val="22"/>
        </w:rPr>
        <w:t>3.1</w:t>
      </w:r>
      <w:r w:rsidR="006C2744">
        <w:rPr>
          <w:rFonts w:cs="Arial"/>
          <w:szCs w:val="22"/>
        </w:rPr>
        <w:t>4</w:t>
      </w:r>
      <w:r w:rsidR="00904A71" w:rsidRPr="00285149">
        <w:rPr>
          <w:rFonts w:cs="Arial"/>
          <w:szCs w:val="22"/>
        </w:rPr>
        <w:tab/>
      </w:r>
      <w:r w:rsidR="00285149" w:rsidRPr="00D61695">
        <w:rPr>
          <w:rFonts w:cs="Arial"/>
          <w:sz w:val="20"/>
        </w:rPr>
        <w:t>Q</w:t>
      </w:r>
      <w:bookmarkStart w:id="2862" w:name="_Toc369183048"/>
      <w:bookmarkStart w:id="2863" w:name="_Toc343003060"/>
      <w:r w:rsidR="00384814" w:rsidRPr="00D61695">
        <w:rPr>
          <w:rFonts w:cs="Arial"/>
          <w:sz w:val="20"/>
        </w:rPr>
        <w:t>SR440: Premiums, claims and expenses (by line of business)</w:t>
      </w:r>
      <w:bookmarkEnd w:id="2862"/>
      <w:r w:rsidR="00384814" w:rsidRPr="00D61695">
        <w:rPr>
          <w:rFonts w:cs="Arial"/>
          <w:sz w:val="20"/>
        </w:rPr>
        <w:t xml:space="preserve"> </w:t>
      </w:r>
      <w:bookmarkEnd w:id="2863"/>
      <w:r w:rsidR="00B10075">
        <w:rPr>
          <w:rFonts w:cs="Arial"/>
          <w:sz w:val="20"/>
        </w:rPr>
        <w:t>(S.05.01.02)</w:t>
      </w:r>
    </w:p>
    <w:p w14:paraId="475064BD"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2356F30" w14:textId="77777777" w:rsidR="00384814" w:rsidRDefault="00384814" w:rsidP="00305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color w:val="000000"/>
        </w:rPr>
      </w:pPr>
      <w:r w:rsidRPr="00247C18">
        <w:rPr>
          <w:rFonts w:ascii="Arial" w:hAnsi="Arial" w:cs="Arial"/>
          <w:color w:val="000000"/>
        </w:rPr>
        <w:t xml:space="preserve">This form is required for all reporting years combined. </w:t>
      </w:r>
    </w:p>
    <w:p w14:paraId="06F77E0D" w14:textId="77777777" w:rsidR="00582D95" w:rsidRPr="00D353C8" w:rsidRDefault="00384814" w:rsidP="00582D95">
      <w:pPr>
        <w:jc w:val="both"/>
        <w:rPr>
          <w:rFonts w:ascii="Arial" w:hAnsi="Arial" w:cs="Arial"/>
          <w:lang w:val="en-US"/>
        </w:rPr>
      </w:pPr>
      <w:r w:rsidRPr="00520545">
        <w:rPr>
          <w:rFonts w:ascii="Arial" w:hAnsi="Arial" w:cs="Arial"/>
          <w:b/>
          <w:lang w:val="en-US"/>
        </w:rPr>
        <w:t xml:space="preserve">This template shall be reported from an accounting perspective, </w:t>
      </w:r>
      <w:r w:rsidR="00160D9F"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for the published financial statements, no new recognition or re-valuation is required</w:t>
      </w:r>
      <w:r w:rsidR="009873A8" w:rsidRPr="008918D7">
        <w:rPr>
          <w:rFonts w:ascii="Arial" w:hAnsi="Arial" w:cs="Arial"/>
          <w:lang w:val="en-US"/>
        </w:rPr>
        <w:t>,</w:t>
      </w:r>
      <w:r w:rsidR="00341026">
        <w:rPr>
          <w:rFonts w:ascii="Arial" w:hAnsi="Arial" w:cs="Arial"/>
          <w:lang w:val="en-US"/>
        </w:rPr>
        <w:t xml:space="preserve"> </w:t>
      </w:r>
      <w:r w:rsidR="00582D95" w:rsidRPr="00D353C8">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p>
    <w:p w14:paraId="5FAB64B4" w14:textId="77777777" w:rsidR="00271FBA" w:rsidRDefault="00271FBA" w:rsidP="00305FEC">
      <w:pPr>
        <w:spacing w:line="276" w:lineRule="auto"/>
        <w:rPr>
          <w:rFonts w:ascii="Arial" w:hAnsi="Arial" w:cs="Arial"/>
          <w:lang w:val="en-US"/>
        </w:rPr>
      </w:pPr>
    </w:p>
    <w:p w14:paraId="4D433F22" w14:textId="77777777" w:rsidR="00305FEC" w:rsidRDefault="00305FEC" w:rsidP="00305FEC">
      <w:pPr>
        <w:spacing w:line="276" w:lineRule="auto"/>
        <w:rPr>
          <w:rFonts w:ascii="Arial" w:hAnsi="Arial" w:cs="Arial"/>
          <w:b/>
          <w:lang w:val="en-US"/>
        </w:rPr>
      </w:pPr>
    </w:p>
    <w:p w14:paraId="27D9CADA" w14:textId="77777777" w:rsidR="00384814" w:rsidRPr="00D603A4" w:rsidRDefault="00384814" w:rsidP="00305FEC">
      <w:pPr>
        <w:spacing w:line="276" w:lineRule="auto"/>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160D9F">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6947DC51" w14:textId="77777777" w:rsidR="00384814" w:rsidRDefault="00384814" w:rsidP="00305FEC">
      <w:pPr>
        <w:spacing w:line="276" w:lineRule="auto"/>
        <w:jc w:val="both"/>
        <w:rPr>
          <w:rFonts w:ascii="Arial" w:hAnsi="Arial" w:cs="Arial"/>
          <w:color w:val="000000"/>
        </w:rPr>
      </w:pPr>
      <w:r>
        <w:rPr>
          <w:rFonts w:ascii="Arial" w:hAnsi="Arial" w:cs="Arial"/>
          <w:color w:val="000000"/>
        </w:rPr>
        <w:lastRenderedPageBreak/>
        <w:t>Classification of business as direct business should be based on the insured i.e. insurance contracts issued to policyholders either directly by the syndicate or through an intermediary should be classified as “direct” business.</w:t>
      </w:r>
    </w:p>
    <w:p w14:paraId="04DC0870" w14:textId="77777777" w:rsidR="00305FEC" w:rsidRPr="00D603A4" w:rsidRDefault="00305FEC" w:rsidP="00305FEC">
      <w:pPr>
        <w:spacing w:line="276" w:lineRule="auto"/>
        <w:jc w:val="both"/>
        <w:rPr>
          <w:lang w:val="en-US"/>
        </w:rPr>
      </w:pPr>
    </w:p>
    <w:p w14:paraId="083C7194" w14:textId="77777777" w:rsidR="00384814" w:rsidRDefault="00384814" w:rsidP="00305FEC">
      <w:pPr>
        <w:spacing w:after="120" w:line="276" w:lineRule="auto"/>
        <w:rPr>
          <w:rFonts w:ascii="Arial" w:hAnsi="Arial" w:cs="Arial"/>
          <w:lang w:val="en-US"/>
        </w:rPr>
      </w:pPr>
      <w:bookmarkStart w:id="2864" w:name="_Toc343003061"/>
      <w:r w:rsidRPr="00D603A4">
        <w:rPr>
          <w:rFonts w:ascii="Arial" w:hAnsi="Arial" w:cs="Arial"/>
          <w:b/>
          <w:lang w:val="en-US"/>
        </w:rPr>
        <w:t>Premiums written</w:t>
      </w:r>
      <w:r w:rsidR="00AF5224" w:rsidRPr="00D353C8">
        <w:rPr>
          <w:rFonts w:ascii="Arial" w:hAnsi="Arial" w:cs="Arial"/>
          <w:lang w:val="en-US"/>
        </w:rPr>
        <w:t xml:space="preserve"> (R0110, R0120, R0130, R0140, R0200)</w:t>
      </w:r>
      <w:r w:rsidRPr="00AF5224">
        <w:rPr>
          <w:rFonts w:ascii="Arial" w:hAnsi="Arial" w:cs="Arial"/>
          <w:lang w:val="en-US"/>
        </w:rPr>
        <w:t>:</w:t>
      </w:r>
      <w:bookmarkStart w:id="2865" w:name="_Toc343003062"/>
      <w:bookmarkEnd w:id="2864"/>
      <w:r w:rsidRPr="00D023EA">
        <w:t xml:space="preserve"> </w:t>
      </w:r>
      <w:r w:rsidRPr="00D023EA">
        <w:rPr>
          <w:rFonts w:ascii="Arial" w:hAnsi="Arial" w:cs="Arial"/>
          <w:lang w:val="en-US"/>
        </w:rPr>
        <w: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11DDF9C9" w14:textId="48AF23C8" w:rsidR="003D3879" w:rsidRDefault="003D387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QSR440 and QSR240. If net premiums written is not equal to zero, an amount is expected to be reported on QSR240 technical provisions. </w:t>
      </w:r>
    </w:p>
    <w:p w14:paraId="0BC43E48" w14:textId="77777777" w:rsidR="00FC1F59" w:rsidRPr="00876243" w:rsidRDefault="00FC1F5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29614B8" w14:textId="77777777" w:rsidR="00384814" w:rsidRDefault="00384814" w:rsidP="00305FEC">
      <w:pPr>
        <w:spacing w:line="276" w:lineRule="auto"/>
        <w:jc w:val="both"/>
        <w:rPr>
          <w:rFonts w:ascii="Arial" w:hAnsi="Arial" w:cs="Arial"/>
        </w:rPr>
      </w:pPr>
      <w:r w:rsidRPr="00C73102">
        <w:rPr>
          <w:rFonts w:ascii="Arial" w:hAnsi="Arial" w:cs="Arial"/>
          <w:b/>
        </w:rPr>
        <w:t>Premiums earned</w:t>
      </w:r>
      <w:r w:rsidR="00AF5224" w:rsidRPr="00D353C8">
        <w:rPr>
          <w:rFonts w:ascii="Arial" w:hAnsi="Arial" w:cs="Arial"/>
        </w:rPr>
        <w:t xml:space="preserve"> (R0210, R0220, R0230, R0240, R0300)</w:t>
      </w:r>
      <w:r w:rsidRPr="00D353C8">
        <w:rPr>
          <w:rFonts w:ascii="Arial" w:hAnsi="Arial" w:cs="Arial"/>
        </w:rPr>
        <w:t>:</w:t>
      </w:r>
      <w:r w:rsidRPr="00AF5224">
        <w:rPr>
          <w:rFonts w:ascii="Arial" w:hAnsi="Arial" w:cs="Arial"/>
        </w:rPr>
        <w:t xml:space="preserve"> </w:t>
      </w:r>
      <w:r w:rsidRPr="00F70289">
        <w:rPr>
          <w:rFonts w:ascii="Arial" w:hAnsi="Arial" w:cs="Arial"/>
        </w:rPr>
        <w:t>It is the sum of gross premiums written minus the change in the gross provision for unearned premium</w:t>
      </w:r>
      <w:r>
        <w:rPr>
          <w:rFonts w:ascii="Arial" w:hAnsi="Arial" w:cs="Arial"/>
        </w:rPr>
        <w:t xml:space="preserve">s related to </w:t>
      </w:r>
      <w:r w:rsidR="002C1262">
        <w:rPr>
          <w:rFonts w:ascii="Arial" w:hAnsi="Arial" w:cs="Arial"/>
        </w:rPr>
        <w:t xml:space="preserve">the </w:t>
      </w:r>
      <w:r>
        <w:rPr>
          <w:rFonts w:ascii="Arial" w:hAnsi="Arial" w:cs="Arial"/>
        </w:rPr>
        <w:t>relevant line of business during the reporting period.</w:t>
      </w:r>
    </w:p>
    <w:p w14:paraId="52A59209" w14:textId="77777777" w:rsidR="00384814" w:rsidRDefault="00384814" w:rsidP="00305FEC">
      <w:pPr>
        <w:spacing w:line="276" w:lineRule="auto"/>
        <w:jc w:val="both"/>
        <w:rPr>
          <w:rFonts w:ascii="Arial" w:hAnsi="Arial" w:cs="Arial"/>
        </w:rPr>
      </w:pPr>
    </w:p>
    <w:p w14:paraId="34E05025" w14:textId="77777777" w:rsidR="00384814" w:rsidRDefault="00384814" w:rsidP="00305FEC">
      <w:pPr>
        <w:spacing w:line="276" w:lineRule="auto"/>
        <w:jc w:val="both"/>
        <w:rPr>
          <w:rFonts w:ascii="Arial" w:hAnsi="Arial" w:cs="Arial"/>
          <w:lang w:val="en-US"/>
        </w:rPr>
      </w:pPr>
      <w:bookmarkStart w:id="2866" w:name="_Toc343003063"/>
      <w:bookmarkEnd w:id="2865"/>
      <w:r w:rsidRPr="00D603A4">
        <w:rPr>
          <w:rFonts w:ascii="Arial" w:hAnsi="Arial" w:cs="Arial"/>
          <w:b/>
          <w:lang w:val="en-US"/>
        </w:rPr>
        <w:t>Claims incurred</w:t>
      </w:r>
      <w:r w:rsidR="00AF5224" w:rsidRPr="00D353C8">
        <w:rPr>
          <w:rFonts w:ascii="Arial" w:hAnsi="Arial" w:cs="Arial"/>
          <w:lang w:val="en-US"/>
        </w:rPr>
        <w:t xml:space="preserve"> (R0310, R0320, R0330, R0340, R0400)</w:t>
      </w:r>
      <w:r w:rsidRPr="00D353C8">
        <w:rPr>
          <w:rFonts w:ascii="Arial" w:hAnsi="Arial" w:cs="Arial"/>
          <w:lang w:val="en-US"/>
        </w:rPr>
        <w:t>:</w:t>
      </w:r>
      <w:r w:rsidRPr="00AF5224">
        <w:rPr>
          <w:rFonts w:ascii="Arial" w:hAnsi="Arial" w:cs="Arial"/>
          <w:lang w:val="en-US"/>
        </w:rPr>
        <w:t xml:space="preserve"> </w:t>
      </w:r>
      <w:r w:rsidRPr="00D603A4">
        <w:rPr>
          <w:rFonts w:ascii="Arial" w:hAnsi="Arial" w:cs="Arial"/>
          <w:lang w:val="en-US"/>
        </w:rPr>
        <w:t xml:space="preserve">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change in the provision for claims during the </w:t>
      </w:r>
      <w:r w:rsidR="009873A8">
        <w:rPr>
          <w:rFonts w:ascii="Arial" w:hAnsi="Arial" w:cs="Arial"/>
          <w:lang w:val="en-US"/>
        </w:rPr>
        <w:t>reporting period</w:t>
      </w:r>
      <w:r w:rsidRPr="00D603A4">
        <w:rPr>
          <w:rFonts w:ascii="Arial" w:hAnsi="Arial" w:cs="Arial"/>
          <w:lang w:val="en-US"/>
        </w:rPr>
        <w:t xml:space="preserve"> related to insurance contracts arising from relevant line of business. </w:t>
      </w:r>
      <w:r w:rsidR="006A2ED4" w:rsidRPr="00CD6C5B">
        <w:rPr>
          <w:rFonts w:ascii="Arial" w:hAnsi="Arial" w:cs="Arial"/>
          <w:lang w:val="en-US"/>
        </w:rPr>
        <w:t>This shall exclude claims management expenses and the movement in provisions in claims management expenses.</w:t>
      </w:r>
    </w:p>
    <w:p w14:paraId="1C6F6300" w14:textId="77777777" w:rsidR="00D00520" w:rsidRDefault="00D00520" w:rsidP="00305FEC">
      <w:pPr>
        <w:spacing w:line="276" w:lineRule="auto"/>
        <w:jc w:val="both"/>
        <w:rPr>
          <w:rFonts w:ascii="Arial" w:hAnsi="Arial" w:cs="Arial"/>
          <w:lang w:val="en-US"/>
        </w:rPr>
      </w:pPr>
    </w:p>
    <w:p w14:paraId="7835BC61" w14:textId="77777777" w:rsidR="00D00520" w:rsidRPr="00610DA9" w:rsidRDefault="00D00520" w:rsidP="00305FEC">
      <w:pPr>
        <w:spacing w:line="276" w:lineRule="auto"/>
        <w:jc w:val="both"/>
        <w:rPr>
          <w:rFonts w:ascii="Arial" w:hAnsi="Arial" w:cs="Arial"/>
          <w:lang w:val="en-US"/>
        </w:rPr>
      </w:pPr>
      <w:r w:rsidRPr="00610DA9">
        <w:rPr>
          <w:rFonts w:ascii="Arial" w:hAnsi="Arial" w:cs="Arial"/>
          <w:b/>
          <w:lang w:val="en-US"/>
        </w:rPr>
        <w:t>Changes in other technical provisions</w:t>
      </w:r>
      <w:r w:rsidR="00AF5224" w:rsidRPr="00D353C8">
        <w:rPr>
          <w:rFonts w:ascii="Arial" w:hAnsi="Arial" w:cs="Arial"/>
          <w:lang w:val="en-US"/>
        </w:rPr>
        <w:t xml:space="preserve"> (R0410, R0420, R0430, R0440, R0500)</w:t>
      </w:r>
      <w:r w:rsidRPr="00D353C8">
        <w:rPr>
          <w:rFonts w:ascii="Arial" w:hAnsi="Arial" w:cs="Arial"/>
          <w:lang w:val="en-US"/>
        </w:rPr>
        <w:t>:</w:t>
      </w:r>
      <w:r w:rsidRPr="00AF5224">
        <w:rPr>
          <w:rFonts w:ascii="Arial" w:hAnsi="Arial" w:cs="Arial"/>
          <w:lang w:val="en-US"/>
        </w:rPr>
        <w:t xml:space="preserve"> </w:t>
      </w:r>
      <w:r w:rsidRPr="00610DA9">
        <w:rPr>
          <w:rFonts w:ascii="Arial" w:hAnsi="Arial" w:cs="Arial"/>
          <w:lang w:val="en-US"/>
        </w:rPr>
        <w:t xml:space="preserve">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305FEC">
        <w:rPr>
          <w:rFonts w:ascii="Arial" w:hAnsi="Arial" w:cs="Arial"/>
          <w:lang w:val="en-US"/>
        </w:rPr>
        <w:t xml:space="preserve">  </w:t>
      </w:r>
      <w:r w:rsidR="00305FEC" w:rsidRPr="00305FEC">
        <w:rPr>
          <w:rFonts w:ascii="Arial" w:hAnsi="Arial" w:cs="Arial"/>
          <w:b/>
          <w:lang w:val="en-US"/>
        </w:rPr>
        <w:t>Nothing is expected to be reported on this line.</w:t>
      </w:r>
    </w:p>
    <w:p w14:paraId="4088DD15" w14:textId="77777777" w:rsidR="00384814" w:rsidRPr="00D603A4" w:rsidRDefault="00384814" w:rsidP="00305FEC">
      <w:pPr>
        <w:spacing w:line="276" w:lineRule="auto"/>
        <w:jc w:val="both"/>
        <w:rPr>
          <w:rFonts w:ascii="Arial" w:hAnsi="Arial" w:cs="Arial"/>
          <w:lang w:val="en-US"/>
        </w:rPr>
      </w:pPr>
    </w:p>
    <w:p w14:paraId="5D96549B" w14:textId="77777777" w:rsidR="00384814" w:rsidRDefault="00384814" w:rsidP="00305FEC">
      <w:pPr>
        <w:spacing w:after="120" w:line="276" w:lineRule="auto"/>
        <w:rPr>
          <w:rFonts w:ascii="Arial" w:hAnsi="Arial" w:cs="Arial"/>
          <w:b/>
          <w:lang w:val="en-US"/>
        </w:rPr>
      </w:pPr>
      <w:r w:rsidRPr="002C36EF">
        <w:rPr>
          <w:rFonts w:ascii="Arial" w:hAnsi="Arial" w:cs="Arial"/>
          <w:b/>
        </w:rPr>
        <w:t xml:space="preserve">Expenses </w:t>
      </w:r>
      <w:r w:rsidRPr="003315F5">
        <w:rPr>
          <w:rFonts w:ascii="Arial" w:hAnsi="Arial" w:cs="Arial"/>
          <w:b/>
        </w:rPr>
        <w:t>incurred</w:t>
      </w:r>
      <w:r w:rsidR="00AF5224" w:rsidRPr="00AF5224">
        <w:rPr>
          <w:rFonts w:ascii="Arial" w:hAnsi="Arial" w:cs="Arial"/>
          <w:b/>
        </w:rPr>
        <w:t xml:space="preserve"> </w:t>
      </w:r>
      <w:r w:rsidR="00AF5224" w:rsidRPr="00D353C8">
        <w:rPr>
          <w:rFonts w:ascii="Arial" w:hAnsi="Arial" w:cs="Arial"/>
        </w:rPr>
        <w:t>(R0550)</w:t>
      </w:r>
      <w:r w:rsidRPr="00D353C8">
        <w:rPr>
          <w:rFonts w:ascii="Arial" w:hAnsi="Arial" w:cs="Arial"/>
        </w:rPr>
        <w:t>:</w:t>
      </w:r>
      <w:r w:rsidRPr="003315F5">
        <w:rPr>
          <w:rFonts w:ascii="Arial" w:hAnsi="Arial" w:cs="Arial"/>
        </w:rPr>
        <w:t xml:space="preserve"> </w:t>
      </w:r>
      <w:r w:rsidRPr="00D603A4">
        <w:rPr>
          <w:rFonts w:ascii="Arial" w:hAnsi="Arial" w:cs="Arial"/>
          <w:lang w:val="en-US"/>
        </w:rPr>
        <w:t>All technical expenses</w:t>
      </w:r>
      <w:r w:rsidR="00566636">
        <w:rPr>
          <w:rFonts w:ascii="Arial" w:hAnsi="Arial" w:cs="Arial"/>
          <w:lang w:val="en-US"/>
        </w:rPr>
        <w:t>, including claims management expenses,</w:t>
      </w:r>
      <w:r w:rsidRPr="00D603A4">
        <w:rPr>
          <w:rFonts w:ascii="Arial" w:hAnsi="Arial" w:cs="Arial"/>
          <w:lang w:val="en-US"/>
        </w:rPr>
        <w:t xml:space="preserve"> incurred by the syndicate during the reporting period, on accrual basis.</w:t>
      </w:r>
    </w:p>
    <w:p w14:paraId="6B38A050" w14:textId="77777777" w:rsidR="00384814" w:rsidRPr="00AD7767" w:rsidRDefault="00384814" w:rsidP="00305FEC">
      <w:pPr>
        <w:spacing w:line="276" w:lineRule="auto"/>
        <w:jc w:val="both"/>
        <w:rPr>
          <w:rFonts w:ascii="Arial" w:hAnsi="Arial" w:cs="Arial"/>
          <w:lang w:val="en-US"/>
        </w:rPr>
      </w:pPr>
      <w:r w:rsidRPr="003527FE">
        <w:rPr>
          <w:rFonts w:ascii="Arial" w:hAnsi="Arial" w:cs="Arial"/>
          <w:b/>
          <w:lang w:val="en-US"/>
        </w:rPr>
        <w:t>Other expenses</w:t>
      </w:r>
      <w:r w:rsidR="00AF5224" w:rsidRPr="00D353C8">
        <w:rPr>
          <w:rFonts w:ascii="Arial" w:hAnsi="Arial" w:cs="Arial"/>
          <w:lang w:val="en-US"/>
        </w:rPr>
        <w:t xml:space="preserve"> (R1200)</w:t>
      </w:r>
      <w:r w:rsidRPr="00D353C8">
        <w:rPr>
          <w:rFonts w:ascii="Arial" w:hAnsi="Arial" w:cs="Arial"/>
          <w:lang w:val="en-US"/>
        </w:rPr>
        <w:t>:</w:t>
      </w:r>
      <w:r w:rsidRPr="00AF5224">
        <w:rPr>
          <w:rFonts w:ascii="Arial" w:hAnsi="Arial" w:cs="Arial"/>
          <w:lang w:val="en-US"/>
        </w:rPr>
        <w:t xml:space="preserve"> </w:t>
      </w:r>
      <w:r w:rsidRPr="003527FE">
        <w:rPr>
          <w:rFonts w:ascii="Arial" w:hAnsi="Arial" w:cs="Arial"/>
          <w:lang w:val="en-US"/>
        </w:rPr>
        <w:t xml:space="preserve">Other expenses not covered by above mentioned expenses and not split by lines of business. It should </w:t>
      </w:r>
      <w:r w:rsidRPr="00D603A4">
        <w:rPr>
          <w:rFonts w:ascii="Arial" w:hAnsi="Arial" w:cs="Arial"/>
          <w:lang w:val="en-US"/>
        </w:rPr>
        <w:t xml:space="preserve">not include non-technical expenses such as tax, interest expenses, losses on disposals. </w:t>
      </w:r>
      <w:bookmarkEnd w:id="2866"/>
    </w:p>
    <w:p w14:paraId="766B0D61" w14:textId="77777777" w:rsidR="00C17CEA" w:rsidRDefault="00384814" w:rsidP="00305FEC">
      <w:pPr>
        <w:spacing w:after="120" w:line="276" w:lineRule="auto"/>
        <w:rPr>
          <w:rFonts w:ascii="Arial" w:hAnsi="Arial" w:cs="Arial"/>
          <w:color w:val="000000"/>
          <w:lang w:val="en-US"/>
        </w:rPr>
      </w:pP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3BF8EA64" w14:textId="77777777" w:rsidR="00071BC3" w:rsidRDefault="00071BC3" w:rsidP="00285149">
      <w:pPr>
        <w:spacing w:after="120" w:line="280" w:lineRule="atLeast"/>
        <w:rPr>
          <w:rFonts w:ascii="Arial" w:hAnsi="Arial" w:cs="Arial"/>
          <w:b/>
          <w:sz w:val="22"/>
          <w:szCs w:val="22"/>
          <w:lang w:val="en-US"/>
        </w:rPr>
      </w:pPr>
    </w:p>
    <w:p w14:paraId="5744CCB4" w14:textId="77777777" w:rsidR="00384814" w:rsidRPr="00285149" w:rsidRDefault="00285149" w:rsidP="00285149">
      <w:pPr>
        <w:spacing w:after="120" w:line="280" w:lineRule="atLeast"/>
        <w:rPr>
          <w:rFonts w:ascii="Arial" w:hAnsi="Arial" w:cs="Arial"/>
          <w:b/>
          <w:sz w:val="22"/>
          <w:szCs w:val="22"/>
          <w:lang w:val="en-US"/>
        </w:rPr>
      </w:pPr>
      <w:r w:rsidRPr="00285149">
        <w:rPr>
          <w:rFonts w:ascii="Arial" w:hAnsi="Arial" w:cs="Arial"/>
          <w:b/>
          <w:sz w:val="22"/>
          <w:szCs w:val="22"/>
          <w:lang w:val="en-US"/>
        </w:rPr>
        <w:t>3.1</w:t>
      </w:r>
      <w:r w:rsidR="006C2744">
        <w:rPr>
          <w:rFonts w:ascii="Arial" w:hAnsi="Arial" w:cs="Arial"/>
          <w:b/>
          <w:sz w:val="22"/>
          <w:szCs w:val="22"/>
          <w:lang w:val="en-US"/>
        </w:rPr>
        <w:t>5</w:t>
      </w:r>
      <w:r w:rsidRPr="00285149">
        <w:rPr>
          <w:rFonts w:ascii="Arial" w:hAnsi="Arial" w:cs="Arial"/>
          <w:b/>
          <w:sz w:val="22"/>
          <w:szCs w:val="22"/>
          <w:lang w:val="en-US"/>
        </w:rPr>
        <w:tab/>
        <w:t>Q</w:t>
      </w:r>
      <w:bookmarkStart w:id="2867" w:name="_Toc369183050"/>
      <w:r w:rsidR="00384814" w:rsidRPr="00285149">
        <w:rPr>
          <w:rFonts w:ascii="Arial" w:hAnsi="Arial" w:cs="Arial"/>
          <w:b/>
          <w:sz w:val="22"/>
          <w:szCs w:val="22"/>
        </w:rPr>
        <w:t>SR450: Life premiums, claims and expenses (by line of business)</w:t>
      </w:r>
      <w:bookmarkEnd w:id="2867"/>
      <w:r w:rsidR="00384814" w:rsidRPr="00285149">
        <w:rPr>
          <w:rFonts w:ascii="Arial" w:hAnsi="Arial" w:cs="Arial"/>
          <w:b/>
          <w:sz w:val="22"/>
          <w:szCs w:val="22"/>
        </w:rPr>
        <w:t xml:space="preserve"> </w:t>
      </w:r>
      <w:r w:rsidR="00B10075" w:rsidRPr="00D353C8">
        <w:rPr>
          <w:rFonts w:ascii="Arial" w:hAnsi="Arial" w:cs="Arial"/>
          <w:b/>
          <w:sz w:val="22"/>
          <w:szCs w:val="22"/>
        </w:rPr>
        <w:t>(S.05.01.02)</w:t>
      </w:r>
    </w:p>
    <w:p w14:paraId="056DEF15"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6579BC5D"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0A3C1D6C" w14:textId="77777777"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160D9F"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p>
    <w:p w14:paraId="3F415F59" w14:textId="77777777" w:rsidR="00384814" w:rsidRPr="00271FBA" w:rsidRDefault="00271FBA"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w:t>
      </w:r>
      <w:r w:rsidR="00160D9F" w:rsidRPr="00271FBA">
        <w:rPr>
          <w:rFonts w:ascii="Arial" w:hAnsi="Arial" w:cs="Arial"/>
          <w:b/>
          <w:lang w:val="en-US"/>
        </w:rPr>
        <w:t>i.e.</w:t>
      </w:r>
      <w:r w:rsidRPr="00271FBA">
        <w:rPr>
          <w:rFonts w:ascii="Arial" w:hAnsi="Arial" w:cs="Arial"/>
          <w:b/>
          <w:lang w:val="en-US"/>
        </w:rPr>
        <w:t xml:space="preserve"> from 1 January to the reporting date.</w:t>
      </w:r>
      <w:r w:rsidR="00384814" w:rsidRPr="00271FBA">
        <w:rPr>
          <w:rFonts w:ascii="Arial" w:hAnsi="Arial" w:cs="Arial"/>
          <w:b/>
          <w:color w:val="000000"/>
        </w:rPr>
        <w:t xml:space="preserve"> </w:t>
      </w:r>
    </w:p>
    <w:p w14:paraId="49F3AC21" w14:textId="77777777" w:rsidR="00384814" w:rsidRDefault="00384814" w:rsidP="00384814">
      <w:pPr>
        <w:spacing w:after="120" w:line="280" w:lineRule="atLeast"/>
        <w:rPr>
          <w:rFonts w:ascii="Arial" w:hAnsi="Arial" w:cs="Arial"/>
        </w:rPr>
      </w:pPr>
      <w:r>
        <w:rPr>
          <w:rFonts w:ascii="Arial" w:hAnsi="Arial" w:cs="Arial"/>
        </w:rPr>
        <w:t>This is a life form, however this is also applicable for those non-life syndicates with annuities stemming from non-life insurance contracts. In the case of non-life syndicates with annuities stemming from non-life contracts, only the two annuities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241F3CD1" w14:textId="77777777" w:rsidR="00384814" w:rsidRDefault="00384814" w:rsidP="00384814">
      <w:pPr>
        <w:spacing w:after="120" w:line="280" w:lineRule="atLeast"/>
        <w:rPr>
          <w:rFonts w:ascii="Arial" w:hAnsi="Arial" w:cs="Arial"/>
        </w:rPr>
      </w:pPr>
      <w:r>
        <w:rPr>
          <w:rFonts w:ascii="Arial" w:hAnsi="Arial" w:cs="Arial"/>
        </w:rPr>
        <w:t xml:space="preserve">The line requirements are the same as those on </w:t>
      </w:r>
      <w:r w:rsidR="00302E51">
        <w:rPr>
          <w:rFonts w:ascii="Arial" w:hAnsi="Arial" w:cs="Arial"/>
        </w:rPr>
        <w:t>Q</w:t>
      </w:r>
      <w:r>
        <w:rPr>
          <w:rFonts w:ascii="Arial" w:hAnsi="Arial" w:cs="Arial"/>
        </w:rPr>
        <w:t>SR440, hence refer above for definitions of the terms.</w:t>
      </w:r>
    </w:p>
    <w:p w14:paraId="5D6CD4B2" w14:textId="77777777" w:rsidR="0033480A" w:rsidRPr="00876243" w:rsidRDefault="0033480A" w:rsidP="0033480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8" w:name="_Hlk23174470"/>
      <w:r w:rsidRPr="00876243">
        <w:rPr>
          <w:rFonts w:ascii="Arial" w:hAnsi="Arial" w:cs="Arial"/>
          <w:color w:val="000000"/>
        </w:rPr>
        <w:lastRenderedPageBreak/>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QSR450 and QSR280/283. If net premiums written is </w:t>
      </w:r>
      <w:r w:rsidR="003D3879">
        <w:rPr>
          <w:rFonts w:ascii="Arial" w:hAnsi="Arial" w:cs="Arial"/>
          <w:color w:val="000000"/>
        </w:rPr>
        <w:t xml:space="preserve">not </w:t>
      </w:r>
      <w:r>
        <w:rPr>
          <w:rFonts w:ascii="Arial" w:hAnsi="Arial" w:cs="Arial"/>
          <w:color w:val="000000"/>
        </w:rPr>
        <w:t xml:space="preserve">equal to zero, an amount is expected to be reported on relevant fields of QSR280/283 technical provisions. </w:t>
      </w:r>
    </w:p>
    <w:bookmarkEnd w:id="2868"/>
    <w:p w14:paraId="3328A867" w14:textId="77777777" w:rsidR="00285149" w:rsidRDefault="00285149" w:rsidP="00384814">
      <w:pPr>
        <w:spacing w:after="120" w:line="280" w:lineRule="atLeast"/>
        <w:rPr>
          <w:rFonts w:ascii="Arial" w:hAnsi="Arial" w:cs="Arial"/>
        </w:rPr>
      </w:pPr>
    </w:p>
    <w:p w14:paraId="39D134EF" w14:textId="77777777" w:rsidR="004A1C88"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6</w:t>
      </w:r>
      <w:r w:rsidRPr="00285149">
        <w:rPr>
          <w:rFonts w:ascii="Arial" w:hAnsi="Arial" w:cs="Arial"/>
          <w:b/>
          <w:sz w:val="22"/>
          <w:szCs w:val="22"/>
        </w:rPr>
        <w:tab/>
        <w:t>Q</w:t>
      </w:r>
      <w:r w:rsidR="004A1C88" w:rsidRPr="00285149">
        <w:rPr>
          <w:rFonts w:ascii="Arial" w:hAnsi="Arial" w:cs="Arial"/>
          <w:b/>
          <w:sz w:val="22"/>
          <w:szCs w:val="22"/>
        </w:rPr>
        <w:t xml:space="preserve">SR510: Minimum Capital Requirement </w:t>
      </w:r>
      <w:bookmarkEnd w:id="2852"/>
      <w:r w:rsidR="004A1C88" w:rsidRPr="00285149">
        <w:rPr>
          <w:rFonts w:ascii="Arial" w:hAnsi="Arial" w:cs="Arial"/>
          <w:b/>
          <w:sz w:val="22"/>
          <w:szCs w:val="22"/>
        </w:rPr>
        <w:t>– Non-life</w:t>
      </w:r>
      <w:bookmarkEnd w:id="2853"/>
      <w:r w:rsidR="00B10075">
        <w:rPr>
          <w:rFonts w:ascii="Arial" w:hAnsi="Arial" w:cs="Arial"/>
          <w:b/>
          <w:sz w:val="22"/>
          <w:szCs w:val="22"/>
        </w:rPr>
        <w:t xml:space="preserve"> (S.28.01.01)</w:t>
      </w:r>
    </w:p>
    <w:p w14:paraId="29E89389"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5A70B906" w14:textId="77777777" w:rsidR="004A1C88" w:rsidRPr="00247C18" w:rsidRDefault="004A1C88" w:rsidP="00247C18">
      <w:pPr>
        <w:spacing w:after="120" w:line="280" w:lineRule="atLeast"/>
        <w:rPr>
          <w:rFonts w:ascii="Arial" w:hAnsi="Arial" w:cs="Arial"/>
        </w:rPr>
      </w:pPr>
      <w:bookmarkStart w:id="2869"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2869"/>
    </w:p>
    <w:p w14:paraId="3176F53F"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2870" w:name="_Toc343003073"/>
    </w:p>
    <w:p w14:paraId="3BAB321A" w14:textId="77777777" w:rsidR="004A1C88" w:rsidRPr="00887B22" w:rsidRDefault="004A1C88" w:rsidP="00247C18">
      <w:pPr>
        <w:spacing w:after="120" w:line="280" w:lineRule="atLeast"/>
        <w:rPr>
          <w:rFonts w:ascii="Arial" w:hAnsi="Arial" w:cs="Arial"/>
          <w:lang w:val="en-US"/>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302E51">
        <w:rPr>
          <w:rFonts w:ascii="Arial" w:hAnsi="Arial" w:cs="Arial"/>
          <w:lang w:val="en-US"/>
        </w:rPr>
        <w:t>e</w:t>
      </w:r>
      <w:r w:rsidR="001A5840">
        <w:rPr>
          <w:rFonts w:ascii="Arial" w:hAnsi="Arial" w:cs="Arial"/>
          <w:lang w:val="en-US"/>
        </w:rPr>
        <w:t>.</w:t>
      </w:r>
      <w:r w:rsidR="00302E51">
        <w:rPr>
          <w:rFonts w:ascii="Arial" w:hAnsi="Arial" w:cs="Arial"/>
          <w:lang w:val="en-US"/>
        </w:rPr>
        <w:t>g</w:t>
      </w:r>
      <w:r w:rsidR="001A5840">
        <w:rPr>
          <w:rFonts w:ascii="Arial" w:hAnsi="Arial" w:cs="Arial"/>
          <w:lang w:val="en-US"/>
        </w:rPr>
        <w:t>.</w:t>
      </w:r>
      <w:r w:rsidR="00302E51">
        <w:rPr>
          <w:rFonts w:ascii="Arial" w:hAnsi="Arial" w:cs="Arial"/>
          <w:lang w:val="en-US"/>
        </w:rPr>
        <w:t xml:space="preserve"> as at </w:t>
      </w:r>
      <w:r w:rsidR="0086543F">
        <w:rPr>
          <w:rFonts w:ascii="Arial" w:hAnsi="Arial" w:cs="Arial"/>
          <w:lang w:val="en-US"/>
        </w:rPr>
        <w:t>3</w:t>
      </w:r>
      <w:r w:rsidR="00E6495E">
        <w:rPr>
          <w:rFonts w:ascii="Arial" w:hAnsi="Arial" w:cs="Arial"/>
          <w:lang w:val="en-US"/>
        </w:rPr>
        <w:t>1</w:t>
      </w:r>
      <w:r w:rsidR="0086543F">
        <w:rPr>
          <w:rFonts w:ascii="Arial" w:hAnsi="Arial" w:cs="Arial"/>
          <w:lang w:val="en-US"/>
        </w:rPr>
        <w:t xml:space="preserve"> </w:t>
      </w:r>
      <w:r w:rsidR="00E6495E">
        <w:rPr>
          <w:rFonts w:ascii="Arial" w:hAnsi="Arial" w:cs="Arial"/>
          <w:lang w:val="en-US"/>
        </w:rPr>
        <w:t xml:space="preserve">December  </w:t>
      </w:r>
      <w:r w:rsidR="00A8799C">
        <w:rPr>
          <w:rFonts w:ascii="Arial" w:hAnsi="Arial" w:cs="Arial"/>
          <w:lang w:val="en-US"/>
        </w:rPr>
        <w:t>20</w:t>
      </w:r>
      <w:r w:rsidR="00AB5008">
        <w:rPr>
          <w:rFonts w:ascii="Arial" w:hAnsi="Arial" w:cs="Arial"/>
          <w:lang w:val="en-US"/>
        </w:rPr>
        <w:t>XX</w:t>
      </w:r>
      <w:r w:rsidR="00302E51">
        <w:rPr>
          <w:rFonts w:ascii="Arial" w:hAnsi="Arial" w:cs="Arial"/>
          <w:lang w:val="en-US"/>
        </w:rPr>
        <w:t xml:space="preserve"> this would be from </w:t>
      </w:r>
      <w:r w:rsidR="007728D0">
        <w:rPr>
          <w:rFonts w:ascii="Arial" w:hAnsi="Arial" w:cs="Arial"/>
          <w:lang w:val="en-US"/>
        </w:rPr>
        <w:t xml:space="preserve"> </w:t>
      </w:r>
      <w:r w:rsidR="00E6495E">
        <w:rPr>
          <w:rFonts w:ascii="Arial" w:hAnsi="Arial" w:cs="Arial"/>
          <w:lang w:val="en-US"/>
        </w:rPr>
        <w:t xml:space="preserve">1 January </w:t>
      </w:r>
      <w:r w:rsidR="00A8799C">
        <w:rPr>
          <w:rFonts w:ascii="Arial" w:hAnsi="Arial" w:cs="Arial"/>
          <w:lang w:val="en-US"/>
        </w:rPr>
        <w:t>20</w:t>
      </w:r>
      <w:r w:rsidR="001C19B1">
        <w:rPr>
          <w:rFonts w:ascii="Arial" w:hAnsi="Arial" w:cs="Arial"/>
          <w:lang w:val="en-US"/>
        </w:rPr>
        <w:t>XX</w:t>
      </w:r>
      <w:r w:rsidR="007728D0">
        <w:rPr>
          <w:rFonts w:ascii="Arial" w:hAnsi="Arial" w:cs="Arial"/>
          <w:lang w:val="en-US"/>
        </w:rPr>
        <w:t xml:space="preserve"> to </w:t>
      </w:r>
      <w:r w:rsidR="00E6495E">
        <w:rPr>
          <w:rFonts w:ascii="Arial" w:hAnsi="Arial" w:cs="Arial"/>
          <w:lang w:val="en-US"/>
        </w:rPr>
        <w:t>31 December</w:t>
      </w:r>
      <w:r w:rsidR="00DE3549">
        <w:rPr>
          <w:rFonts w:ascii="Arial" w:hAnsi="Arial" w:cs="Arial"/>
          <w:lang w:val="en-US"/>
        </w:rPr>
        <w:t xml:space="preserve"> </w:t>
      </w:r>
      <w:r w:rsidR="00A8799C">
        <w:rPr>
          <w:rFonts w:ascii="Arial" w:hAnsi="Arial" w:cs="Arial"/>
          <w:lang w:val="en-US"/>
        </w:rPr>
        <w:t>20</w:t>
      </w:r>
      <w:r w:rsidR="001C19B1">
        <w:rPr>
          <w:rFonts w:ascii="Arial" w:hAnsi="Arial" w:cs="Arial"/>
          <w:lang w:val="en-US"/>
        </w:rPr>
        <w:t>XX</w:t>
      </w:r>
      <w:r w:rsidR="00302E51">
        <w:rPr>
          <w:rFonts w:ascii="Arial" w:hAnsi="Arial" w:cs="Arial"/>
          <w:lang w:val="en-US"/>
        </w:rPr>
        <w:t xml:space="preserve"> </w:t>
      </w:r>
      <w:r w:rsidRPr="00887B22">
        <w:rPr>
          <w:rFonts w:ascii="Arial" w:hAnsi="Arial" w:cs="Arial"/>
          <w:lang w:val="en-US"/>
        </w:rPr>
        <w:t xml:space="preserve">and should be net of reinsurance premiums ceded which corresponds to these premiums. </w:t>
      </w:r>
    </w:p>
    <w:p w14:paraId="31ADDC79" w14:textId="77777777" w:rsidR="004A1C88" w:rsidRPr="001603F1" w:rsidRDefault="004A1C88" w:rsidP="00351C2F">
      <w:pPr>
        <w:pStyle w:val="ListParagraph"/>
        <w:spacing w:line="280" w:lineRule="atLeast"/>
        <w:ind w:left="0"/>
        <w:rPr>
          <w:rFonts w:ascii="Arial" w:hAnsi="Arial" w:cs="Arial"/>
          <w:sz w:val="20"/>
          <w:lang w:val="en-GB"/>
        </w:rPr>
      </w:pPr>
      <w:r w:rsidRPr="001603F1">
        <w:rPr>
          <w:rFonts w:ascii="Arial" w:hAnsi="Arial" w:cs="Arial"/>
          <w:sz w:val="20"/>
          <w:lang w:val="en-GB"/>
        </w:rPr>
        <w:t xml:space="preserve">The definition for written premium </w:t>
      </w:r>
      <w:r w:rsidR="002D3E18" w:rsidRPr="001603F1">
        <w:rPr>
          <w:rFonts w:ascii="Arial" w:hAnsi="Arial" w:cs="Arial"/>
          <w:sz w:val="20"/>
          <w:lang w:val="en-GB"/>
        </w:rPr>
        <w:t>(A</w:t>
      </w:r>
      <w:r w:rsidR="009929C4" w:rsidRPr="001603F1">
        <w:rPr>
          <w:rFonts w:ascii="Arial" w:hAnsi="Arial" w:cs="Arial"/>
          <w:sz w:val="20"/>
          <w:lang w:val="en-GB"/>
        </w:rPr>
        <w:t xml:space="preserve">rticle 1(11) of Delegated Regulation (EU) 2015/35) </w:t>
      </w:r>
      <w:r w:rsidRPr="001603F1">
        <w:rPr>
          <w:rFonts w:ascii="Arial" w:hAnsi="Arial" w:cs="Arial"/>
          <w:sz w:val="20"/>
          <w:lang w:val="en-GB"/>
        </w:rPr>
        <w:t>is as follows:</w:t>
      </w:r>
    </w:p>
    <w:p w14:paraId="75EFDD4E" w14:textId="77777777" w:rsidR="004A1C88" w:rsidRDefault="004A1C88" w:rsidP="002D3E18">
      <w:pPr>
        <w:pStyle w:val="ListParagraph"/>
        <w:spacing w:line="280" w:lineRule="atLeast"/>
        <w:ind w:left="0"/>
        <w:jc w:val="left"/>
        <w:rPr>
          <w:rFonts w:ascii="Arial" w:hAnsi="Arial" w:cs="Arial"/>
          <w:sz w:val="20"/>
          <w:lang w:val="en-GB"/>
        </w:rPr>
      </w:pPr>
      <w:r w:rsidRPr="001603F1">
        <w:rPr>
          <w:rFonts w:ascii="Arial" w:hAnsi="Arial" w:cs="Arial"/>
          <w:sz w:val="20"/>
          <w:lang w:val="en-GB"/>
        </w:rPr>
        <w:t>'in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EF14FD">
        <w:rPr>
          <w:rFonts w:ascii="Arial" w:hAnsi="Arial" w:cs="Arial"/>
          <w:sz w:val="20"/>
          <w:lang w:val="en-GB"/>
        </w:rPr>
        <w:t>.</w:t>
      </w:r>
    </w:p>
    <w:p w14:paraId="0E09E0E4" w14:textId="77777777" w:rsidR="00EF14FD" w:rsidRDefault="00EF14FD" w:rsidP="002D3E18">
      <w:pPr>
        <w:pStyle w:val="ListParagraph"/>
        <w:spacing w:line="280" w:lineRule="atLeast"/>
        <w:ind w:left="0"/>
        <w:jc w:val="left"/>
        <w:rPr>
          <w:rFonts w:ascii="Arial" w:hAnsi="Arial" w:cs="Arial"/>
          <w:sz w:val="20"/>
          <w:lang w:val="en-GB"/>
        </w:rPr>
      </w:pPr>
    </w:p>
    <w:p w14:paraId="2C053F81" w14:textId="77777777" w:rsidR="00305FEC" w:rsidRDefault="00305FEC" w:rsidP="002D3E18">
      <w:pPr>
        <w:pStyle w:val="ListParagraph"/>
        <w:spacing w:line="280" w:lineRule="atLeast"/>
        <w:ind w:left="0"/>
        <w:jc w:val="left"/>
        <w:rPr>
          <w:rFonts w:ascii="Arial" w:hAnsi="Arial" w:cs="Arial"/>
          <w:sz w:val="20"/>
          <w:lang w:val="en-GB"/>
        </w:rPr>
      </w:pPr>
    </w:p>
    <w:p w14:paraId="606205F0" w14:textId="77777777" w:rsidR="0072478B" w:rsidRPr="007728D0" w:rsidRDefault="00021356" w:rsidP="002D3E18">
      <w:pPr>
        <w:pStyle w:val="ListParagraph"/>
        <w:spacing w:line="280" w:lineRule="atLeast"/>
        <w:ind w:left="0"/>
        <w:jc w:val="left"/>
        <w:rPr>
          <w:rFonts w:ascii="Arial" w:hAnsi="Arial" w:cs="Arial"/>
          <w:sz w:val="20"/>
          <w:lang w:val="en-GB"/>
        </w:rPr>
      </w:pPr>
      <w:r w:rsidRPr="003F5950">
        <w:rPr>
          <w:rFonts w:ascii="Arial" w:hAnsi="Arial" w:cs="Arial"/>
          <w:b/>
          <w:sz w:val="20"/>
          <w:lang w:val="en-GB"/>
        </w:rPr>
        <w:t>The above definition is not GAAP but rather on the basis of Solvency II valuation (cash flow basis).</w:t>
      </w:r>
      <w:r w:rsidRPr="003F5950">
        <w:rPr>
          <w:rFonts w:ascii="Arial" w:hAnsi="Arial" w:cs="Arial"/>
          <w:sz w:val="20"/>
          <w:lang w:val="en-GB"/>
        </w:rPr>
        <w:t xml:space="preserve"> Hence if bound but not incepted contracts (BBNI) are due during the period under consideration, then these should be considered as written premium, for example:</w:t>
      </w:r>
    </w:p>
    <w:p w14:paraId="2B8AAC5E" w14:textId="77777777" w:rsidR="0072478B" w:rsidRPr="001603F1" w:rsidRDefault="0072478B" w:rsidP="002D3E18">
      <w:pPr>
        <w:pStyle w:val="ListParagraph"/>
        <w:spacing w:line="280" w:lineRule="atLeast"/>
        <w:ind w:left="0"/>
        <w:jc w:val="left"/>
        <w:rPr>
          <w:rFonts w:ascii="Arial" w:hAnsi="Arial" w:cs="Arial"/>
          <w:sz w:val="20"/>
          <w:lang w:val="en-GB"/>
        </w:rPr>
      </w:pPr>
    </w:p>
    <w:tbl>
      <w:tblPr>
        <w:tblW w:w="0" w:type="auto"/>
        <w:jc w:val="center"/>
        <w:tblCellMar>
          <w:left w:w="0" w:type="dxa"/>
          <w:right w:w="0" w:type="dxa"/>
        </w:tblCellMar>
        <w:tblLook w:val="04A0" w:firstRow="1" w:lastRow="0" w:firstColumn="1" w:lastColumn="0" w:noHBand="0" w:noVBand="1"/>
      </w:tblPr>
      <w:tblGrid>
        <w:gridCol w:w="3280"/>
        <w:gridCol w:w="1594"/>
        <w:gridCol w:w="1576"/>
        <w:gridCol w:w="1576"/>
        <w:gridCol w:w="1577"/>
      </w:tblGrid>
      <w:tr w:rsidR="00311347" w:rsidRPr="00887B22" w14:paraId="69461CC0" w14:textId="77777777" w:rsidTr="00305FEC">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77777777" w:rsidR="00311347" w:rsidRPr="00887B22" w:rsidRDefault="00311347" w:rsidP="00E95D8C">
            <w:pPr>
              <w:rPr>
                <w:rFonts w:ascii="Arial" w:eastAsia="Calibri" w:hAnsi="Arial" w:cs="Arial"/>
                <w:b/>
              </w:rPr>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77777777" w:rsidR="00311347" w:rsidRPr="00887B22" w:rsidRDefault="00311347" w:rsidP="00957273">
            <w:pPr>
              <w:jc w:val="cente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Pr>
          <w:p w14:paraId="256019B9" w14:textId="3EAF4EA2" w:rsidR="00311347" w:rsidRPr="00887B22" w:rsidRDefault="00311347" w:rsidP="008C0B28">
            <w:pPr>
              <w:jc w:val="center"/>
              <w:rPr>
                <w:rFonts w:ascii="Arial" w:hAnsi="Arial" w:cs="Arial"/>
                <w:b/>
              </w:rPr>
            </w:pPr>
            <w:r>
              <w:rPr>
                <w:rFonts w:ascii="Arial" w:hAnsi="Arial" w:cs="Arial"/>
                <w:b/>
              </w:rPr>
              <w:t xml:space="preserve">Due before </w:t>
            </w:r>
            <w:r w:rsidR="00A8799C">
              <w:rPr>
                <w:rFonts w:ascii="Arial" w:hAnsi="Arial" w:cs="Arial"/>
                <w:b/>
              </w:rPr>
              <w:t>20</w:t>
            </w:r>
            <w:r w:rsidR="00425AEC">
              <w:rPr>
                <w:rFonts w:ascii="Arial" w:hAnsi="Arial" w:cs="Arial"/>
                <w:b/>
              </w:rPr>
              <w:t>2</w:t>
            </w:r>
            <w:r w:rsidR="001E28B7">
              <w:rPr>
                <w:rFonts w:ascii="Arial" w:hAnsi="Arial" w:cs="Arial"/>
                <w:b/>
              </w:rPr>
              <w:t>5</w:t>
            </w:r>
            <w:r>
              <w:rPr>
                <w:rFonts w:ascii="Arial" w:hAnsi="Arial" w:cs="Arial"/>
                <w:b/>
              </w:rPr>
              <w:t xml:space="preserve"> (£m)</w:t>
            </w:r>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66687EC8" w:rsidR="00311347" w:rsidRPr="00887B22" w:rsidRDefault="00311347" w:rsidP="008C0B28">
            <w:pPr>
              <w:jc w:val="cente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A8799C">
              <w:rPr>
                <w:rFonts w:ascii="Arial" w:hAnsi="Arial" w:cs="Arial"/>
                <w:b/>
              </w:rPr>
              <w:t>20</w:t>
            </w:r>
            <w:r w:rsidR="00425AEC">
              <w:rPr>
                <w:rFonts w:ascii="Arial" w:hAnsi="Arial" w:cs="Arial"/>
                <w:b/>
              </w:rPr>
              <w:t>2</w:t>
            </w:r>
            <w:r w:rsidR="001E28B7">
              <w:rPr>
                <w:rFonts w:ascii="Arial" w:hAnsi="Arial" w:cs="Arial"/>
                <w:b/>
              </w:rPr>
              <w:t>5</w:t>
            </w:r>
            <w:r w:rsidR="008C0B28">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51D4A801" w:rsidR="00311347" w:rsidRPr="00887B22" w:rsidRDefault="00311347" w:rsidP="008C0B28">
            <w:pPr>
              <w:jc w:val="center"/>
              <w:rPr>
                <w:rFonts w:ascii="Arial" w:eastAsia="Calibri" w:hAnsi="Arial" w:cs="Arial"/>
                <w:b/>
              </w:rPr>
            </w:pPr>
            <w:r w:rsidRPr="00887B22">
              <w:rPr>
                <w:rFonts w:ascii="Arial" w:hAnsi="Arial" w:cs="Arial"/>
                <w:b/>
              </w:rPr>
              <w:t xml:space="preserve">Due after </w:t>
            </w:r>
            <w:r w:rsidR="00A8799C">
              <w:rPr>
                <w:rFonts w:ascii="Arial" w:hAnsi="Arial" w:cs="Arial"/>
                <w:b/>
              </w:rPr>
              <w:t>20</w:t>
            </w:r>
            <w:r w:rsidR="00425AEC">
              <w:rPr>
                <w:rFonts w:ascii="Arial" w:hAnsi="Arial" w:cs="Arial"/>
                <w:b/>
              </w:rPr>
              <w:t>2</w:t>
            </w:r>
            <w:r w:rsidR="001E28B7">
              <w:rPr>
                <w:rFonts w:ascii="Arial" w:hAnsi="Arial" w:cs="Arial"/>
                <w:b/>
              </w:rPr>
              <w:t>5</w:t>
            </w:r>
            <w:r>
              <w:rPr>
                <w:rFonts w:ascii="Arial" w:hAnsi="Arial" w:cs="Arial"/>
                <w:b/>
              </w:rPr>
              <w:t xml:space="preserve"> (</w:t>
            </w:r>
            <w:r w:rsidRPr="000E30F2">
              <w:rPr>
                <w:rFonts w:ascii="Arial" w:hAnsi="Arial" w:cs="Arial"/>
                <w:b/>
              </w:rPr>
              <w:t>£m</w:t>
            </w:r>
            <w:r>
              <w:rPr>
                <w:rFonts w:ascii="Arial" w:hAnsi="Arial" w:cs="Arial"/>
                <w:b/>
              </w:rPr>
              <w:t>)</w:t>
            </w:r>
          </w:p>
        </w:tc>
      </w:tr>
      <w:tr w:rsidR="00311347" w:rsidRPr="00887B22" w14:paraId="6C66D401"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7706AAF4" w:rsidR="00311347" w:rsidRPr="00887B22" w:rsidRDefault="00F51721" w:rsidP="00305FEC">
            <w:pPr>
              <w:rPr>
                <w:rFonts w:ascii="Arial" w:hAnsi="Arial" w:cs="Arial"/>
              </w:rPr>
            </w:pPr>
            <w:r>
              <w:rPr>
                <w:rFonts w:ascii="Arial" w:hAnsi="Arial" w:cs="Arial"/>
              </w:rPr>
              <w:t>202</w:t>
            </w:r>
            <w:r w:rsidR="001E28B7">
              <w:rPr>
                <w:rFonts w:ascii="Arial" w:hAnsi="Arial" w:cs="Arial"/>
              </w:rPr>
              <w:t>5</w:t>
            </w:r>
            <w:r>
              <w:rPr>
                <w:rFonts w:ascii="Arial" w:hAnsi="Arial" w:cs="Arial"/>
              </w:rPr>
              <w:t xml:space="preserve"> </w:t>
            </w:r>
            <w:r w:rsidR="00311347" w:rsidRPr="00887B22">
              <w:rPr>
                <w:rFonts w:ascii="Arial" w:hAnsi="Arial" w:cs="Arial"/>
              </w:rPr>
              <w:t xml:space="preserve">YoA (Incepted by </w:t>
            </w:r>
            <w:r w:rsidR="00A8799C">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77777777" w:rsidR="00311347" w:rsidRPr="00887B22" w:rsidRDefault="00311347" w:rsidP="00957273">
            <w:pPr>
              <w:jc w:val="right"/>
              <w:rPr>
                <w:rFonts w:ascii="Arial" w:eastAsia="Calibri" w:hAnsi="Arial" w:cs="Arial"/>
              </w:rPr>
            </w:pPr>
            <w:r>
              <w:rPr>
                <w:rFonts w:ascii="Arial" w:hAnsi="Arial" w:cs="Arial"/>
              </w:rPr>
              <w:t>3</w:t>
            </w:r>
            <w:r w:rsidRPr="00887B22">
              <w:rPr>
                <w:rFonts w:ascii="Arial" w:hAnsi="Arial" w:cs="Arial"/>
              </w:rPr>
              <w:t>5</w:t>
            </w:r>
          </w:p>
        </w:tc>
        <w:tc>
          <w:tcPr>
            <w:tcW w:w="1618" w:type="dxa"/>
            <w:tcBorders>
              <w:top w:val="single" w:sz="8" w:space="0" w:color="auto"/>
              <w:left w:val="nil"/>
              <w:bottom w:val="single" w:sz="8" w:space="0" w:color="auto"/>
              <w:right w:val="single" w:sz="8" w:space="0" w:color="auto"/>
            </w:tcBorders>
            <w:vAlign w:val="center"/>
          </w:tcPr>
          <w:p w14:paraId="6441CA12" w14:textId="77777777" w:rsidR="00311347" w:rsidRPr="00887B22" w:rsidRDefault="00311347" w:rsidP="00957273">
            <w:pPr>
              <w:jc w:val="right"/>
              <w:rPr>
                <w:rFonts w:ascii="Arial" w:hAnsi="Arial" w:cs="Arial"/>
              </w:rPr>
            </w:pPr>
            <w:r>
              <w:rPr>
                <w:rFonts w:ascii="Arial" w:hAnsi="Arial" w:cs="Arial"/>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77777777" w:rsidR="00311347" w:rsidRPr="00887B22" w:rsidRDefault="00311347" w:rsidP="00957273">
            <w:pPr>
              <w:jc w:val="right"/>
              <w:rPr>
                <w:rFonts w:ascii="Arial" w:eastAsia="Calibri" w:hAnsi="Arial" w:cs="Arial"/>
              </w:rPr>
            </w:pPr>
            <w:r w:rsidRPr="00887B22">
              <w:rPr>
                <w:rFonts w:ascii="Arial" w:hAnsi="Arial" w:cs="Arial"/>
              </w:rPr>
              <w:t>20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5538F3ED"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0BAE0CD8" w:rsidR="00311347" w:rsidRPr="00887B22" w:rsidRDefault="00A8799C" w:rsidP="00305FEC">
            <w:pPr>
              <w:rPr>
                <w:rFonts w:ascii="Arial" w:eastAsia="Calibri" w:hAnsi="Arial" w:cs="Arial"/>
              </w:rPr>
            </w:pPr>
            <w:r>
              <w:rPr>
                <w:rFonts w:ascii="Arial" w:hAnsi="Arial" w:cs="Arial"/>
              </w:rPr>
              <w:t>20</w:t>
            </w:r>
            <w:r w:rsidR="00193927">
              <w:rPr>
                <w:rFonts w:ascii="Arial" w:hAnsi="Arial" w:cs="Arial"/>
              </w:rPr>
              <w:t>2</w:t>
            </w:r>
            <w:r w:rsidR="001E28B7">
              <w:rPr>
                <w:rFonts w:ascii="Arial" w:hAnsi="Arial" w:cs="Arial"/>
              </w:rPr>
              <w:t>5</w:t>
            </w:r>
            <w:r w:rsidR="00311347">
              <w:rPr>
                <w:rFonts w:ascii="Arial" w:hAnsi="Arial" w:cs="Arial"/>
              </w:rPr>
              <w:t xml:space="preserve"> </w:t>
            </w:r>
            <w:r w:rsidR="00311347" w:rsidRPr="00887B22">
              <w:rPr>
                <w:rFonts w:ascii="Arial" w:hAnsi="Arial" w:cs="Arial"/>
              </w:rPr>
              <w:t>YoA (</w:t>
            </w:r>
            <w:proofErr w:type="spellStart"/>
            <w:r w:rsidR="00311347" w:rsidRPr="00887B22">
              <w:rPr>
                <w:rFonts w:ascii="Arial" w:hAnsi="Arial" w:cs="Arial"/>
              </w:rPr>
              <w:t>Unincepted</w:t>
            </w:r>
            <w:proofErr w:type="spellEnd"/>
            <w:r w:rsidR="00311347" w:rsidRPr="00887B22">
              <w:rPr>
                <w:rFonts w:ascii="Arial" w:hAnsi="Arial" w:cs="Arial"/>
              </w:rPr>
              <w:t xml:space="preserve"> by </w:t>
            </w:r>
            <w:r>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77777777" w:rsidR="00311347" w:rsidRPr="00887B22" w:rsidRDefault="00311347" w:rsidP="00957273">
            <w:pPr>
              <w:jc w:val="right"/>
              <w:rPr>
                <w:rFonts w:ascii="Arial" w:eastAsia="Calibri" w:hAnsi="Arial" w:cs="Arial"/>
              </w:rPr>
            </w:pPr>
            <w:r w:rsidRPr="00887B22">
              <w:rPr>
                <w:rFonts w:ascii="Arial" w:hAnsi="Arial" w:cs="Arial"/>
              </w:rPr>
              <w:t>75</w:t>
            </w:r>
          </w:p>
        </w:tc>
        <w:tc>
          <w:tcPr>
            <w:tcW w:w="1618" w:type="dxa"/>
            <w:tcBorders>
              <w:top w:val="single" w:sz="8" w:space="0" w:color="auto"/>
              <w:left w:val="nil"/>
              <w:bottom w:val="single" w:sz="8" w:space="0" w:color="auto"/>
              <w:right w:val="single" w:sz="8" w:space="0" w:color="auto"/>
            </w:tcBorders>
            <w:vAlign w:val="center"/>
          </w:tcPr>
          <w:p w14:paraId="2D496042"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77777777" w:rsidR="00311347" w:rsidRPr="00887B22" w:rsidRDefault="00311347" w:rsidP="00957273">
            <w:pPr>
              <w:jc w:val="right"/>
              <w:rPr>
                <w:rFonts w:ascii="Arial" w:eastAsia="Calibri" w:hAnsi="Arial" w:cs="Arial"/>
              </w:rPr>
            </w:pPr>
            <w:r w:rsidRPr="00887B22">
              <w:rPr>
                <w:rFonts w:ascii="Arial" w:hAnsi="Arial" w:cs="Arial"/>
              </w:rPr>
              <w:t>50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7777777" w:rsidR="00311347" w:rsidRPr="00887B22" w:rsidRDefault="00311347" w:rsidP="00957273">
            <w:pPr>
              <w:jc w:val="right"/>
              <w:rPr>
                <w:rFonts w:ascii="Arial" w:eastAsia="Calibri" w:hAnsi="Arial" w:cs="Arial"/>
              </w:rPr>
            </w:pPr>
            <w:r w:rsidRPr="00887B22">
              <w:rPr>
                <w:rFonts w:ascii="Arial" w:hAnsi="Arial" w:cs="Arial"/>
              </w:rPr>
              <w:t>25</w:t>
            </w:r>
          </w:p>
        </w:tc>
      </w:tr>
      <w:tr w:rsidR="00311347" w:rsidRPr="00887B22" w14:paraId="1755F534"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4785E683" w:rsidR="00311347" w:rsidRPr="00887B22" w:rsidRDefault="00A8799C" w:rsidP="00305FEC">
            <w:pPr>
              <w:rPr>
                <w:rFonts w:ascii="Arial" w:eastAsia="Calibri" w:hAnsi="Arial" w:cs="Arial"/>
              </w:rPr>
            </w:pPr>
            <w:r>
              <w:rPr>
                <w:rFonts w:ascii="Arial" w:hAnsi="Arial" w:cs="Arial"/>
              </w:rPr>
              <w:t>20</w:t>
            </w:r>
            <w:r w:rsidR="001C19B1">
              <w:rPr>
                <w:rFonts w:ascii="Arial" w:hAnsi="Arial" w:cs="Arial"/>
              </w:rPr>
              <w:t>2</w:t>
            </w:r>
            <w:r w:rsidR="001E28B7">
              <w:rPr>
                <w:rFonts w:ascii="Arial" w:hAnsi="Arial" w:cs="Arial"/>
              </w:rPr>
              <w:t>6</w:t>
            </w:r>
            <w:r w:rsidR="00311347">
              <w:rPr>
                <w:rFonts w:ascii="Arial" w:hAnsi="Arial" w:cs="Arial"/>
              </w:rPr>
              <w:t xml:space="preserve"> </w:t>
            </w:r>
            <w:r w:rsidR="00311347" w:rsidRPr="00887B22">
              <w:rPr>
                <w:rFonts w:ascii="Arial" w:hAnsi="Arial" w:cs="Arial"/>
              </w:rPr>
              <w:t>YoA (</w:t>
            </w:r>
            <w:proofErr w:type="spellStart"/>
            <w:r w:rsidR="00311347" w:rsidRPr="00887B22">
              <w:rPr>
                <w:rFonts w:ascii="Arial" w:hAnsi="Arial" w:cs="Arial"/>
              </w:rPr>
              <w:t>Unincepted</w:t>
            </w:r>
            <w:proofErr w:type="spellEnd"/>
            <w:r w:rsidR="00311347" w:rsidRPr="00887B22">
              <w:rPr>
                <w:rFonts w:ascii="Arial" w:hAnsi="Arial" w:cs="Arial"/>
              </w:rPr>
              <w:t xml:space="preserve"> by </w:t>
            </w:r>
            <w:r>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77777777" w:rsidR="00311347" w:rsidRPr="00887B22" w:rsidRDefault="00311347" w:rsidP="00957273">
            <w:pPr>
              <w:jc w:val="right"/>
              <w:rPr>
                <w:rFonts w:ascii="Arial" w:eastAsia="Calibri" w:hAnsi="Arial" w:cs="Arial"/>
              </w:rPr>
            </w:pPr>
            <w:r w:rsidRPr="00887B22">
              <w:rPr>
                <w:rFonts w:ascii="Arial" w:hAnsi="Arial" w:cs="Arial"/>
              </w:rPr>
              <w:t>15</w:t>
            </w:r>
          </w:p>
        </w:tc>
        <w:tc>
          <w:tcPr>
            <w:tcW w:w="1618" w:type="dxa"/>
            <w:tcBorders>
              <w:top w:val="single" w:sz="8" w:space="0" w:color="auto"/>
              <w:left w:val="nil"/>
              <w:bottom w:val="single" w:sz="8" w:space="0" w:color="auto"/>
              <w:right w:val="single" w:sz="8" w:space="0" w:color="auto"/>
            </w:tcBorders>
            <w:vAlign w:val="center"/>
          </w:tcPr>
          <w:p w14:paraId="0D03351F"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77777777" w:rsidR="00311347" w:rsidRPr="00887B22" w:rsidRDefault="00311347" w:rsidP="00957273">
            <w:pPr>
              <w:jc w:val="right"/>
              <w:rPr>
                <w:rFonts w:ascii="Arial" w:eastAsia="Calibri" w:hAnsi="Arial" w:cs="Arial"/>
              </w:rPr>
            </w:pPr>
            <w:r w:rsidRPr="00887B22">
              <w:rPr>
                <w:rFonts w:ascii="Arial" w:hAnsi="Arial" w:cs="Arial"/>
              </w:rPr>
              <w:t>10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01109552" w14:textId="77777777" w:rsidTr="00081B66">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77777777" w:rsidR="00311347" w:rsidRPr="00887B22" w:rsidRDefault="00311347" w:rsidP="00305FEC">
            <w:pPr>
              <w:rPr>
                <w:rFonts w:ascii="Arial" w:eastAsia="Calibri" w:hAnsi="Arial" w:cs="Arial"/>
                <w:b/>
              </w:rPr>
            </w:pPr>
            <w:r w:rsidRPr="00887B22">
              <w:rPr>
                <w:rFonts w:ascii="Arial" w:hAnsi="Arial" w:cs="Arial"/>
                <w:b/>
              </w:rPr>
              <w:t>Total</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77777777" w:rsidR="00311347" w:rsidRPr="00887B22" w:rsidRDefault="00311347" w:rsidP="00957273">
            <w:pPr>
              <w:jc w:val="right"/>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18" w:type="dxa"/>
            <w:tcBorders>
              <w:top w:val="single" w:sz="8" w:space="0" w:color="auto"/>
              <w:left w:val="nil"/>
              <w:bottom w:val="single" w:sz="8" w:space="0" w:color="auto"/>
              <w:right w:val="single" w:sz="8" w:space="0" w:color="auto"/>
            </w:tcBorders>
            <w:vAlign w:val="center"/>
          </w:tcPr>
          <w:p w14:paraId="7EE93851" w14:textId="77777777" w:rsidR="00311347" w:rsidRPr="00887B22" w:rsidRDefault="00311347" w:rsidP="00081B66">
            <w:pPr>
              <w:jc w:val="right"/>
              <w:rPr>
                <w:rFonts w:ascii="Arial" w:hAnsi="Arial" w:cs="Arial"/>
                <w:b/>
              </w:rPr>
            </w:pPr>
            <w:r>
              <w:rPr>
                <w:rFonts w:ascii="Arial" w:hAnsi="Arial" w:cs="Arial"/>
                <w:b/>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7777777" w:rsidR="00311347" w:rsidRPr="00887B22" w:rsidRDefault="00311347" w:rsidP="00957273">
            <w:pPr>
              <w:jc w:val="right"/>
              <w:rPr>
                <w:rFonts w:ascii="Arial" w:eastAsia="Calibri" w:hAnsi="Arial" w:cs="Arial"/>
                <w:b/>
              </w:rPr>
            </w:pPr>
            <w:r w:rsidRPr="00887B22">
              <w:rPr>
                <w:rFonts w:ascii="Arial" w:hAnsi="Arial" w:cs="Arial"/>
                <w:b/>
              </w:rPr>
              <w:t>80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77777777" w:rsidR="00311347" w:rsidRPr="00887B22" w:rsidRDefault="00311347" w:rsidP="00957273">
            <w:pPr>
              <w:jc w:val="right"/>
              <w:rPr>
                <w:rFonts w:ascii="Arial" w:eastAsia="Calibri" w:hAnsi="Arial" w:cs="Arial"/>
                <w:b/>
              </w:rPr>
            </w:pPr>
            <w:r w:rsidRPr="00887B22">
              <w:rPr>
                <w:rFonts w:ascii="Arial" w:hAnsi="Arial" w:cs="Arial"/>
                <w:b/>
              </w:rPr>
              <w:t>35</w:t>
            </w:r>
          </w:p>
        </w:tc>
      </w:tr>
    </w:tbl>
    <w:p w14:paraId="743D09E2" w14:textId="77777777" w:rsidR="00936E1C" w:rsidRDefault="00936E1C" w:rsidP="00351C2F">
      <w:pPr>
        <w:spacing w:after="120" w:line="280" w:lineRule="atLeast"/>
        <w:rPr>
          <w:rFonts w:ascii="Arial" w:hAnsi="Arial" w:cs="Arial"/>
          <w:sz w:val="22"/>
          <w:lang w:val="fr-FR" w:eastAsia="fr-FR"/>
        </w:rPr>
      </w:pPr>
    </w:p>
    <w:p w14:paraId="64B10B8D" w14:textId="43CAF232" w:rsidR="004A1C88" w:rsidRPr="00C532DC" w:rsidRDefault="004A1C88" w:rsidP="00351C2F">
      <w:pPr>
        <w:spacing w:after="120" w:line="280" w:lineRule="atLeast"/>
        <w:rPr>
          <w:rFonts w:ascii="Arial" w:hAnsi="Arial" w:cs="Arial"/>
          <w:lang w:val="en-US"/>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A8799C">
        <w:rPr>
          <w:rFonts w:ascii="Arial" w:hAnsi="Arial" w:cs="Arial"/>
        </w:rPr>
        <w:t>20</w:t>
      </w:r>
      <w:r w:rsidR="00425AEC">
        <w:rPr>
          <w:rFonts w:ascii="Arial" w:hAnsi="Arial" w:cs="Arial"/>
        </w:rPr>
        <w:t>2</w:t>
      </w:r>
      <w:r w:rsidR="001E28B7">
        <w:rPr>
          <w:rFonts w:ascii="Arial" w:hAnsi="Arial" w:cs="Arial"/>
        </w:rPr>
        <w:t>5</w:t>
      </w:r>
      <w:r>
        <w:rPr>
          <w:rFonts w:ascii="Arial" w:hAnsi="Arial" w:cs="Arial"/>
        </w:rPr>
        <w:t xml:space="preserve"> </w:t>
      </w:r>
      <w:r w:rsidRPr="00887B22">
        <w:rPr>
          <w:rFonts w:ascii="Arial" w:hAnsi="Arial" w:cs="Arial"/>
        </w:rPr>
        <w:t>on a UK GAAP basis would be £</w:t>
      </w:r>
      <w:r w:rsidR="00311347">
        <w:rPr>
          <w:rFonts w:ascii="Arial" w:hAnsi="Arial" w:cs="Arial"/>
        </w:rPr>
        <w:t>3</w:t>
      </w:r>
      <w:r w:rsidRPr="00887B22">
        <w:rPr>
          <w:rFonts w:ascii="Arial" w:hAnsi="Arial" w:cs="Arial"/>
        </w:rPr>
        <w:t>5m (the top left most cell)</w:t>
      </w:r>
      <w:r w:rsidR="00311347">
        <w:rPr>
          <w:rFonts w:ascii="Arial" w:hAnsi="Arial" w:cs="Arial"/>
        </w:rPr>
        <w:t xml:space="preserve">; this would include £10m for premium for </w:t>
      </w:r>
      <w:r w:rsidR="00A8799C">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YoA (</w:t>
      </w:r>
      <w:proofErr w:type="spellStart"/>
      <w:r w:rsidR="00311347">
        <w:rPr>
          <w:rFonts w:ascii="Arial" w:hAnsi="Arial" w:cs="Arial"/>
        </w:rPr>
        <w:t>unincepted</w:t>
      </w:r>
      <w:proofErr w:type="spellEnd"/>
      <w:r w:rsidR="00311347">
        <w:rPr>
          <w:rFonts w:ascii="Arial" w:hAnsi="Arial" w:cs="Arial"/>
        </w:rPr>
        <w:t xml:space="preserve"> by </w:t>
      </w:r>
      <w:r w:rsidR="00A8799C">
        <w:rPr>
          <w:rFonts w:ascii="Arial" w:hAnsi="Arial" w:cs="Arial"/>
        </w:rPr>
        <w:t>20</w:t>
      </w:r>
      <w:r w:rsidR="00727DA0">
        <w:rPr>
          <w:rFonts w:ascii="Arial" w:hAnsi="Arial" w:cs="Arial"/>
        </w:rPr>
        <w:t>2</w:t>
      </w:r>
      <w:r w:rsidR="001E28B7">
        <w:rPr>
          <w:rFonts w:ascii="Arial" w:hAnsi="Arial" w:cs="Arial"/>
        </w:rPr>
        <w:t>5</w:t>
      </w:r>
      <w:r w:rsidR="00311347">
        <w:rPr>
          <w:rFonts w:ascii="Arial" w:hAnsi="Arial" w:cs="Arial"/>
        </w:rPr>
        <w:t xml:space="preserve"> year-end) but due in </w:t>
      </w:r>
      <w:r w:rsidR="00A8799C">
        <w:rPr>
          <w:rFonts w:ascii="Arial" w:hAnsi="Arial" w:cs="Arial"/>
        </w:rPr>
        <w:t>20</w:t>
      </w:r>
      <w:r w:rsidR="00727DA0">
        <w:rPr>
          <w:rFonts w:ascii="Arial" w:hAnsi="Arial" w:cs="Arial"/>
        </w:rPr>
        <w:t>2</w:t>
      </w:r>
      <w:r w:rsidR="001E28B7">
        <w:rPr>
          <w:rFonts w:ascii="Arial" w:hAnsi="Arial" w:cs="Arial"/>
        </w:rPr>
        <w:t>5</w:t>
      </w:r>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A8799C">
        <w:rPr>
          <w:rFonts w:ascii="Arial" w:hAnsi="Arial" w:cs="Arial"/>
        </w:rPr>
        <w:t>20</w:t>
      </w:r>
      <w:r w:rsidR="00425AEC">
        <w:rPr>
          <w:rFonts w:ascii="Arial" w:hAnsi="Arial" w:cs="Arial"/>
        </w:rPr>
        <w:t>2</w:t>
      </w:r>
      <w:r w:rsidR="001E28B7">
        <w:rPr>
          <w:rFonts w:ascii="Arial" w:hAnsi="Arial" w:cs="Arial"/>
        </w:rPr>
        <w:t>5</w:t>
      </w:r>
      <w:r w:rsidRPr="00887B22">
        <w:rPr>
          <w:rFonts w:ascii="Arial" w:hAnsi="Arial" w:cs="Arial"/>
        </w:rPr>
        <w:t xml:space="preserve"> 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r w:rsidR="00E47AB9">
        <w:rPr>
          <w:rFonts w:ascii="Arial" w:hAnsi="Arial" w:cs="Arial"/>
        </w:rPr>
        <w:t>This has a floor equal to zero by line of business</w:t>
      </w:r>
      <w:r w:rsidR="00E22B4F">
        <w:rPr>
          <w:rFonts w:ascii="Arial" w:hAnsi="Arial" w:cs="Arial"/>
        </w:rPr>
        <w:t xml:space="preserve"> – </w:t>
      </w:r>
      <w:r w:rsidR="00A929F6">
        <w:rPr>
          <w:rFonts w:ascii="Arial" w:hAnsi="Arial" w:cs="Arial"/>
        </w:rPr>
        <w:t>i.e.</w:t>
      </w:r>
      <w:r w:rsidR="00E22B4F">
        <w:rPr>
          <w:rFonts w:ascii="Arial" w:hAnsi="Arial" w:cs="Arial"/>
        </w:rPr>
        <w:t xml:space="preserve"> if the written premium for the period for a particular line of business is negative, then zero should be reported for that line of business</w:t>
      </w:r>
      <w:r w:rsidR="00E47AB9">
        <w:rPr>
          <w:rFonts w:ascii="Arial" w:hAnsi="Arial" w:cs="Arial"/>
        </w:rPr>
        <w:t>.</w:t>
      </w:r>
    </w:p>
    <w:p w14:paraId="77150D8A" w14:textId="77777777"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w:t>
      </w:r>
      <w:proofErr w:type="spellStart"/>
      <w:r w:rsidRPr="005F6CA8">
        <w:rPr>
          <w:rFonts w:ascii="Arial" w:hAnsi="Arial" w:cs="Arial"/>
          <w:lang w:val="en-US"/>
        </w:rPr>
        <w:t>recoverables</w:t>
      </w:r>
      <w:proofErr w:type="spellEnd"/>
      <w:r w:rsidRPr="005F6CA8">
        <w:rPr>
          <w:rFonts w:ascii="Arial" w:hAnsi="Arial" w:cs="Arial"/>
          <w:lang w:val="en-US"/>
        </w:rPr>
        <w:t xml:space="preserve"> and should </w:t>
      </w:r>
      <w:r w:rsidRPr="005F6CA8">
        <w:rPr>
          <w:rFonts w:ascii="Arial" w:hAnsi="Arial" w:cs="Arial"/>
        </w:rPr>
        <w:t>be without the risk margin (</w:t>
      </w:r>
      <w:r w:rsidR="00A929F6" w:rsidRPr="005F6CA8">
        <w:rPr>
          <w:rFonts w:ascii="Arial" w:hAnsi="Arial" w:cs="Arial"/>
        </w:rPr>
        <w:t>i.e.</w:t>
      </w:r>
      <w:r w:rsidRPr="005F6CA8">
        <w:rPr>
          <w:rFonts w:ascii="Arial" w:hAnsi="Arial" w:cs="Arial"/>
        </w:rPr>
        <w:t xml:space="preserv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provisions calculated as a whole should be used)</w:t>
      </w:r>
      <w:r w:rsidR="006E5DEA">
        <w:rPr>
          <w:rFonts w:ascii="Arial" w:hAnsi="Arial" w:cs="Arial"/>
        </w:rPr>
        <w:t xml:space="preserve"> and after deduction of the amounts recoverable from reinsurance contracts and SPVs</w:t>
      </w:r>
      <w:r w:rsidR="00E22B4F">
        <w:rPr>
          <w:rFonts w:ascii="Arial" w:hAnsi="Arial" w:cs="Arial"/>
        </w:rPr>
        <w:t>.  Again, this has</w:t>
      </w:r>
      <w:r w:rsidR="006E5DEA">
        <w:rPr>
          <w:rFonts w:ascii="Arial" w:hAnsi="Arial" w:cs="Arial"/>
        </w:rPr>
        <w:t xml:space="preserve"> a floor equal to zero</w:t>
      </w:r>
      <w:r w:rsidR="002D3E18">
        <w:rPr>
          <w:rFonts w:ascii="Arial" w:hAnsi="Arial" w:cs="Arial"/>
        </w:rPr>
        <w:t xml:space="preserve"> by line of business</w:t>
      </w:r>
      <w:r w:rsidR="00E22B4F" w:rsidRPr="00E22B4F">
        <w:t xml:space="preserve"> </w:t>
      </w:r>
      <w:r w:rsidR="00E5539E">
        <w:t xml:space="preserve">- </w:t>
      </w:r>
      <w:r w:rsidR="00160D9F" w:rsidRPr="00E22B4F">
        <w:rPr>
          <w:rFonts w:ascii="Arial" w:hAnsi="Arial" w:cs="Arial"/>
        </w:rPr>
        <w:t>i.e.</w:t>
      </w:r>
      <w:r w:rsidR="00E22B4F" w:rsidRPr="00E22B4F">
        <w:rPr>
          <w:rFonts w:ascii="Arial" w:hAnsi="Arial" w:cs="Arial"/>
        </w:rPr>
        <w:t xml:space="preserve"> if the </w:t>
      </w:r>
      <w:r w:rsidR="00E22B4F">
        <w:rPr>
          <w:rFonts w:ascii="Arial" w:hAnsi="Arial" w:cs="Arial"/>
        </w:rPr>
        <w:t>technical provisions</w:t>
      </w:r>
      <w:r w:rsidR="00E22B4F" w:rsidRPr="00E22B4F">
        <w:rPr>
          <w:rFonts w:ascii="Arial" w:hAnsi="Arial" w:cs="Arial"/>
        </w:rPr>
        <w:t xml:space="preserve"> for a particular line of business </w:t>
      </w:r>
      <w:r w:rsidR="00E5539E">
        <w:rPr>
          <w:rFonts w:ascii="Arial" w:hAnsi="Arial" w:cs="Arial"/>
        </w:rPr>
        <w:t>are</w:t>
      </w:r>
      <w:r w:rsidR="00E22B4F" w:rsidRPr="00E22B4F">
        <w:rPr>
          <w:rFonts w:ascii="Arial" w:hAnsi="Arial" w:cs="Arial"/>
        </w:rPr>
        <w:t xml:space="preserve"> negative, then zero should be reported for that line of business</w:t>
      </w:r>
      <w:r w:rsidRPr="007C12B4">
        <w:rPr>
          <w:rFonts w:ascii="Arial" w:hAnsi="Arial" w:cs="Arial"/>
        </w:rPr>
        <w:t>.</w:t>
      </w:r>
      <w:bookmarkEnd w:id="2870"/>
      <w:r w:rsidR="006E5DEA">
        <w:rPr>
          <w:rFonts w:ascii="Arial" w:hAnsi="Arial" w:cs="Arial"/>
        </w:rPr>
        <w:t xml:space="preserve">  </w:t>
      </w:r>
    </w:p>
    <w:p w14:paraId="7DB567DB" w14:textId="77777777"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w:t>
      </w:r>
      <w:r w:rsidR="00A832BB">
        <w:rPr>
          <w:rFonts w:ascii="Arial" w:hAnsi="Arial" w:cs="Arial"/>
        </w:rPr>
        <w:t xml:space="preserve"> (R0310, C0070)</w:t>
      </w:r>
      <w:r w:rsidRPr="004A175E">
        <w:rPr>
          <w:rFonts w:ascii="Arial" w:hAnsi="Arial" w:cs="Arial"/>
        </w:rPr>
        <w:t>: This should agree to the SCR amount reported in QSR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335E3F29" w14:textId="77777777" w:rsidR="004A1C88" w:rsidRDefault="004A1C88" w:rsidP="00DA035C">
      <w:pPr>
        <w:spacing w:after="120" w:line="280" w:lineRule="atLeast"/>
        <w:rPr>
          <w:rFonts w:ascii="Arial" w:hAnsi="Arial" w:cs="Arial"/>
        </w:rPr>
      </w:pPr>
      <w:r w:rsidRPr="00887B22">
        <w:rPr>
          <w:rFonts w:ascii="Arial" w:hAnsi="Arial" w:cs="Arial"/>
          <w:b/>
        </w:rPr>
        <w:lastRenderedPageBreak/>
        <w:t>Lines 20 &amp; 21</w:t>
      </w:r>
      <w:r>
        <w:rPr>
          <w:rFonts w:ascii="Arial" w:hAnsi="Arial" w:cs="Arial"/>
        </w:rPr>
        <w:t xml:space="preserve"> – MCR cap</w:t>
      </w:r>
      <w:r w:rsidR="00A832BB">
        <w:rPr>
          <w:rFonts w:ascii="Arial" w:hAnsi="Arial" w:cs="Arial"/>
        </w:rPr>
        <w:t xml:space="preserve"> (R0320, C0070)</w:t>
      </w:r>
      <w:r>
        <w:rPr>
          <w:rFonts w:ascii="Arial" w:hAnsi="Arial" w:cs="Arial"/>
        </w:rPr>
        <w:t xml:space="preserve"> and floor</w:t>
      </w:r>
      <w:r w:rsidR="00A832BB">
        <w:rPr>
          <w:rFonts w:ascii="Arial" w:hAnsi="Arial" w:cs="Arial"/>
        </w:rPr>
        <w:t xml:space="preserve"> (R0330, C0070)</w:t>
      </w:r>
      <w:r>
        <w:rPr>
          <w:rFonts w:ascii="Arial" w:hAnsi="Arial" w:cs="Arial"/>
        </w:rPr>
        <w:t xml:space="preserve">: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41A9D273"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w:t>
      </w:r>
      <w:r w:rsidR="00A832BB">
        <w:rPr>
          <w:rFonts w:ascii="Arial" w:hAnsi="Arial" w:cs="Arial"/>
        </w:rPr>
        <w:t xml:space="preserve"> (R0350, C0070)</w:t>
      </w:r>
      <w:r>
        <w:rPr>
          <w:rFonts w:ascii="Arial" w:hAnsi="Arial" w:cs="Arial"/>
        </w:rPr>
        <w:t>: MCR reported shall have an absolute floor of:</w:t>
      </w:r>
    </w:p>
    <w:p w14:paraId="7B730C03" w14:textId="24CB47E8" w:rsidR="00F83654" w:rsidRPr="008926C9" w:rsidRDefault="004A1C88" w:rsidP="006C5EE3">
      <w:pPr>
        <w:numPr>
          <w:ilvl w:val="0"/>
          <w:numId w:val="38"/>
        </w:numPr>
        <w:spacing w:after="120" w:line="280" w:lineRule="atLeast"/>
        <w:rPr>
          <w:rFonts w:ascii="Arial" w:hAnsi="Arial" w:cs="Arial"/>
        </w:rPr>
      </w:pPr>
      <w:r w:rsidRPr="00B73ED5">
        <w:rPr>
          <w:rFonts w:ascii="Arial" w:hAnsi="Arial" w:cs="Arial"/>
          <w:lang w:val="en-US"/>
        </w:rPr>
        <w:t>EUR 2,</w:t>
      </w:r>
      <w:r w:rsidR="001B3C70">
        <w:rPr>
          <w:rFonts w:ascii="Arial" w:hAnsi="Arial" w:cs="Arial"/>
          <w:lang w:val="en-US"/>
        </w:rPr>
        <w:t>7</w:t>
      </w:r>
      <w:r w:rsidRPr="00B73ED5">
        <w:rPr>
          <w:rFonts w:ascii="Arial" w:hAnsi="Arial" w:cs="Arial"/>
          <w:lang w:val="en-US"/>
        </w:rPr>
        <w:t>00,</w:t>
      </w:r>
      <w:r w:rsidRPr="00EE71C7">
        <w:rPr>
          <w:rFonts w:ascii="Arial" w:hAnsi="Arial" w:cs="Arial"/>
          <w:lang w:val="en-US"/>
        </w:rPr>
        <w:t xml:space="preserve">000 for non-life insurance undertakings, including captive insurance undertakings, </w:t>
      </w:r>
      <w:r w:rsidR="002D3E18" w:rsidRPr="00B73ED5">
        <w:rPr>
          <w:rFonts w:ascii="Arial" w:hAnsi="Arial" w:cs="Arial"/>
          <w:lang w:val="en-US"/>
        </w:rPr>
        <w:t xml:space="preserve">except </w:t>
      </w:r>
      <w:r w:rsidRPr="00B73ED5">
        <w:rPr>
          <w:rFonts w:ascii="Arial" w:hAnsi="Arial" w:cs="Arial"/>
          <w:lang w:val="en-US"/>
        </w:rPr>
        <w:t xml:space="preserve">in the case where all or some of the risks included in one of the classes 10 to 15 listed in Part A of Annex 1 of the Solvency II Directive </w:t>
      </w:r>
      <w:r w:rsidR="002D3E18" w:rsidRPr="00B73ED5">
        <w:rPr>
          <w:rFonts w:ascii="Arial" w:hAnsi="Arial" w:cs="Arial"/>
          <w:lang w:val="en-US"/>
        </w:rPr>
        <w:t xml:space="preserve">(2009/138/EC) </w:t>
      </w:r>
      <w:r w:rsidRPr="00EE71C7">
        <w:rPr>
          <w:rFonts w:ascii="Arial" w:hAnsi="Arial" w:cs="Arial"/>
          <w:lang w:val="en-US"/>
        </w:rPr>
        <w:t xml:space="preserve">are covered, in which case it shall be no less than EUR </w:t>
      </w:r>
      <w:r w:rsidR="001B3C70">
        <w:rPr>
          <w:rFonts w:ascii="Arial" w:hAnsi="Arial" w:cs="Arial"/>
          <w:lang w:val="en-US"/>
        </w:rPr>
        <w:t>4,0</w:t>
      </w:r>
      <w:r w:rsidRPr="00B73ED5">
        <w:rPr>
          <w:rFonts w:ascii="Arial" w:hAnsi="Arial" w:cs="Arial"/>
          <w:lang w:val="en-US"/>
        </w:rPr>
        <w:t>00,000</w:t>
      </w:r>
      <w:r w:rsidR="00973234">
        <w:rPr>
          <w:rFonts w:ascii="Arial" w:hAnsi="Arial" w:cs="Arial"/>
          <w:lang w:val="en-US"/>
        </w:rPr>
        <w:t>;</w:t>
      </w:r>
      <w:r w:rsidRPr="00B73ED5">
        <w:rPr>
          <w:rFonts w:ascii="Arial" w:hAnsi="Arial" w:cs="Arial"/>
          <w:lang w:val="en-US"/>
        </w:rPr>
        <w:t xml:space="preserve"> </w:t>
      </w:r>
    </w:p>
    <w:p w14:paraId="2AFB555A" w14:textId="2FAB10B4" w:rsidR="004A1C88" w:rsidRPr="00B73ED5" w:rsidRDefault="004A1C88" w:rsidP="006C5EE3">
      <w:pPr>
        <w:numPr>
          <w:ilvl w:val="0"/>
          <w:numId w:val="38"/>
        </w:numPr>
        <w:spacing w:after="120" w:line="280" w:lineRule="atLeast"/>
        <w:rPr>
          <w:rFonts w:ascii="Arial" w:hAnsi="Arial" w:cs="Arial"/>
        </w:rPr>
      </w:pPr>
      <w:r w:rsidRPr="00B73ED5">
        <w:rPr>
          <w:rFonts w:ascii="Arial" w:hAnsi="Arial" w:cs="Arial"/>
          <w:lang w:val="en-US"/>
        </w:rPr>
        <w:t xml:space="preserve">EUR </w:t>
      </w:r>
      <w:r w:rsidR="001B3C70">
        <w:rPr>
          <w:rFonts w:ascii="Arial" w:hAnsi="Arial" w:cs="Arial"/>
          <w:lang w:val="en-US"/>
        </w:rPr>
        <w:t>4,0</w:t>
      </w:r>
      <w:r w:rsidRPr="00B73ED5">
        <w:rPr>
          <w:rFonts w:ascii="Arial" w:hAnsi="Arial" w:cs="Arial"/>
          <w:lang w:val="en-US"/>
        </w:rPr>
        <w:t>00,000 for life insurance undertakings, including captive insurance undertakings</w:t>
      </w:r>
      <w:r w:rsidR="00973234">
        <w:rPr>
          <w:rFonts w:ascii="Arial" w:hAnsi="Arial" w:cs="Arial"/>
          <w:lang w:val="en-US"/>
        </w:rPr>
        <w:t>; and</w:t>
      </w:r>
    </w:p>
    <w:p w14:paraId="070633CB" w14:textId="35EFDE81" w:rsidR="004A1C88" w:rsidRPr="00887B22" w:rsidRDefault="004A1C88" w:rsidP="006C5EE3">
      <w:pPr>
        <w:numPr>
          <w:ilvl w:val="0"/>
          <w:numId w:val="38"/>
        </w:numPr>
        <w:spacing w:after="120" w:line="280" w:lineRule="atLeast"/>
        <w:rPr>
          <w:rFonts w:ascii="Arial" w:hAnsi="Arial" w:cs="Arial"/>
          <w:lang w:val="en-US"/>
        </w:rPr>
      </w:pPr>
      <w:r w:rsidRPr="00887B22">
        <w:rPr>
          <w:rFonts w:ascii="Arial" w:hAnsi="Arial" w:cs="Arial"/>
          <w:lang w:val="en-US"/>
        </w:rPr>
        <w:t>EUR</w:t>
      </w:r>
      <w:r w:rsidR="00F83654">
        <w:rPr>
          <w:rFonts w:ascii="Arial" w:hAnsi="Arial" w:cs="Arial"/>
          <w:lang w:val="en-US"/>
        </w:rPr>
        <w:t xml:space="preserve"> 3</w:t>
      </w:r>
      <w:r w:rsidRPr="00887B22">
        <w:rPr>
          <w:rFonts w:ascii="Arial" w:hAnsi="Arial" w:cs="Arial"/>
          <w:lang w:val="en-US"/>
        </w:rPr>
        <w:t>,</w:t>
      </w:r>
      <w:r w:rsidR="00F83654">
        <w:rPr>
          <w:rFonts w:ascii="Arial" w:hAnsi="Arial" w:cs="Arial"/>
          <w:lang w:val="en-US"/>
        </w:rPr>
        <w:t>9</w:t>
      </w:r>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8213E9">
        <w:rPr>
          <w:rFonts w:ascii="Arial" w:hAnsi="Arial" w:cs="Arial"/>
          <w:lang w:val="en-US"/>
        </w:rPr>
        <w:t>3</w:t>
      </w:r>
      <w:r w:rsidRPr="00887B22">
        <w:rPr>
          <w:rFonts w:ascii="Arial" w:hAnsi="Arial" w:cs="Arial"/>
          <w:lang w:val="en-US"/>
        </w:rPr>
        <w:t>00,000</w:t>
      </w:r>
      <w:r w:rsidR="004C69E1">
        <w:rPr>
          <w:rFonts w:ascii="Arial" w:hAnsi="Arial" w:cs="Arial"/>
          <w:lang w:val="en-US"/>
        </w:rPr>
        <w:t>.</w:t>
      </w:r>
    </w:p>
    <w:p w14:paraId="4C52D954" w14:textId="77777777" w:rsidR="00077D24" w:rsidRDefault="004A1C88" w:rsidP="00077D24">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1B3C70">
        <w:rPr>
          <w:rFonts w:ascii="Arial" w:hAnsi="Arial" w:cs="Arial"/>
        </w:rPr>
        <w:t>4</w:t>
      </w:r>
      <w:r>
        <w:rPr>
          <w:rFonts w:ascii="Arial" w:hAnsi="Arial" w:cs="Arial"/>
        </w:rPr>
        <w:t>,</w:t>
      </w:r>
      <w:r w:rsidR="001B3C70">
        <w:rPr>
          <w:rFonts w:ascii="Arial" w:hAnsi="Arial" w:cs="Arial"/>
        </w:rPr>
        <w:t>0</w:t>
      </w:r>
      <w:r>
        <w:rPr>
          <w:rFonts w:ascii="Arial" w:hAnsi="Arial" w:cs="Arial"/>
        </w:rPr>
        <w:t xml:space="preserve">00,000. </w:t>
      </w:r>
    </w:p>
    <w:p w14:paraId="23E68405" w14:textId="2B853136" w:rsidR="00077D24" w:rsidRDefault="00077D24" w:rsidP="00C24293">
      <w:pPr>
        <w:spacing w:after="120" w:line="280" w:lineRule="atLeast"/>
        <w:rPr>
          <w:rFonts w:ascii="Arial" w:hAnsi="Arial" w:cs="Arial"/>
        </w:rPr>
      </w:pPr>
      <w:bookmarkStart w:id="2871" w:name="_Hlk153961683"/>
      <w:r>
        <w:rPr>
          <w:rFonts w:ascii="Arial" w:hAnsi="Arial" w:cs="Arial"/>
        </w:rPr>
        <w:t>In accordance with Article 299 of the Solvency II Directive, the exchange rate from the euro to the pound sterling to be used to calculate the absolute floor for the Minimum Capital Requirement with effect from the year beginning on 31st December is the rate applicable on the last day of the preceding October, for which the exchange rates for the currencies of all the European Union member states were published in the Official Journal of the European Union.</w:t>
      </w:r>
      <w:bookmarkEnd w:id="2871"/>
    </w:p>
    <w:p w14:paraId="032C9DE9" w14:textId="77777777" w:rsidR="00654E29" w:rsidRDefault="00654E29" w:rsidP="00654E29">
      <w:pPr>
        <w:spacing w:after="120" w:line="280" w:lineRule="atLeast"/>
        <w:rPr>
          <w:rFonts w:ascii="Arial" w:hAnsi="Arial" w:cs="Arial"/>
        </w:rPr>
      </w:pPr>
      <w:r>
        <w:rPr>
          <w:rFonts w:ascii="Arial" w:hAnsi="Arial" w:cs="Arial"/>
        </w:rPr>
        <w:t>Additional validations have been added between QSR510 and QSR</w:t>
      </w:r>
      <w:r w:rsidR="0027224D">
        <w:rPr>
          <w:rFonts w:ascii="Arial" w:hAnsi="Arial" w:cs="Arial"/>
        </w:rPr>
        <w:t>440</w:t>
      </w:r>
      <w:r>
        <w:rPr>
          <w:rFonts w:ascii="Arial" w:hAnsi="Arial" w:cs="Arial"/>
        </w:rPr>
        <w:t>. Where field Net (of reinsurance) Written premiums in the last 12 months has been reported for a LOB, it should be greater than or equal to corresponding LOB reported on QSR440 for net written premiums (line 5).</w:t>
      </w:r>
    </w:p>
    <w:p w14:paraId="61B2AF23" w14:textId="77777777" w:rsidR="00BF3278" w:rsidRDefault="00BF3278" w:rsidP="00285149">
      <w:pPr>
        <w:spacing w:after="120" w:line="280" w:lineRule="atLeast"/>
        <w:rPr>
          <w:rFonts w:ascii="Arial" w:hAnsi="Arial" w:cs="Arial"/>
          <w:b/>
          <w:sz w:val="22"/>
          <w:szCs w:val="22"/>
        </w:rPr>
      </w:pPr>
    </w:p>
    <w:p w14:paraId="1EF5B41A" w14:textId="77777777" w:rsidR="004A1C88" w:rsidRPr="00285149" w:rsidRDefault="00285149" w:rsidP="00285149">
      <w:pPr>
        <w:spacing w:after="120" w:line="280" w:lineRule="atLeast"/>
        <w:rPr>
          <w:rFonts w:ascii="Arial" w:hAnsi="Arial" w:cs="Arial"/>
          <w:b/>
          <w:sz w:val="22"/>
          <w:szCs w:val="22"/>
        </w:rPr>
      </w:pPr>
      <w:r w:rsidRPr="00803942">
        <w:rPr>
          <w:rFonts w:ascii="Arial" w:hAnsi="Arial" w:cs="Arial"/>
          <w:b/>
          <w:sz w:val="22"/>
          <w:szCs w:val="22"/>
        </w:rPr>
        <w:t>3.1</w:t>
      </w:r>
      <w:r w:rsidR="006C2744" w:rsidRPr="00803942">
        <w:rPr>
          <w:rFonts w:ascii="Arial" w:hAnsi="Arial" w:cs="Arial"/>
          <w:b/>
          <w:sz w:val="22"/>
          <w:szCs w:val="22"/>
        </w:rPr>
        <w:t>7</w:t>
      </w:r>
      <w:r w:rsidRPr="00803942">
        <w:rPr>
          <w:rFonts w:ascii="Arial" w:hAnsi="Arial" w:cs="Arial"/>
          <w:b/>
          <w:sz w:val="22"/>
          <w:szCs w:val="22"/>
        </w:rPr>
        <w:tab/>
        <w:t>Q</w:t>
      </w:r>
      <w:bookmarkStart w:id="2872" w:name="_Toc352675407"/>
      <w:r w:rsidR="004A1C88" w:rsidRPr="00890390">
        <w:rPr>
          <w:rFonts w:ascii="Arial" w:hAnsi="Arial" w:cs="Arial"/>
          <w:b/>
          <w:sz w:val="22"/>
          <w:szCs w:val="22"/>
        </w:rPr>
        <w:t>SR511: Minimum Capital Requirement – Life</w:t>
      </w:r>
      <w:bookmarkEnd w:id="2872"/>
      <w:r w:rsidR="00B10075" w:rsidRPr="00A5578B">
        <w:rPr>
          <w:rFonts w:ascii="Arial" w:hAnsi="Arial" w:cs="Arial"/>
          <w:b/>
          <w:sz w:val="22"/>
          <w:szCs w:val="22"/>
        </w:rPr>
        <w:t xml:space="preserve"> (S.28.01.01)</w:t>
      </w:r>
    </w:p>
    <w:p w14:paraId="530B0084"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681FB53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237738ED" w14:textId="77777777"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w:t>
      </w:r>
      <w:proofErr w:type="spellStart"/>
      <w:r w:rsidRPr="005B4EE1">
        <w:rPr>
          <w:rFonts w:ascii="Arial" w:hAnsi="Arial" w:cs="Arial"/>
          <w:lang w:val="en-US"/>
        </w:rPr>
        <w:t>recoverables</w:t>
      </w:r>
      <w:proofErr w:type="spellEnd"/>
      <w:r w:rsidRPr="005B4EE1">
        <w:rPr>
          <w:rFonts w:ascii="Arial" w:hAnsi="Arial" w:cs="Arial"/>
          <w:lang w:val="en-US"/>
        </w:rPr>
        <w:t xml:space="preserve"> and should </w:t>
      </w:r>
      <w:r w:rsidRPr="005B4EE1">
        <w:rPr>
          <w:rFonts w:ascii="Arial" w:hAnsi="Arial" w:cs="Arial"/>
        </w:rPr>
        <w:t>be without the risk margin (</w:t>
      </w:r>
      <w:r w:rsidR="00A929F6" w:rsidRPr="005B4EE1">
        <w:rPr>
          <w:rFonts w:ascii="Arial" w:hAnsi="Arial" w:cs="Arial"/>
        </w:rPr>
        <w:t>i.e.</w:t>
      </w:r>
      <w:r w:rsidRPr="005B4EE1">
        <w:rPr>
          <w:rFonts w:ascii="Arial" w:hAnsi="Arial" w:cs="Arial"/>
        </w:rPr>
        <w:t xml:space="preserve"> sum of the net best estimate and technical provisions calculated as a whole should be used)</w:t>
      </w:r>
      <w:r w:rsidR="009123EF" w:rsidRPr="005B4EE1">
        <w:rPr>
          <w:rFonts w:ascii="Arial" w:hAnsi="Arial" w:cs="Arial"/>
        </w:rPr>
        <w:t xml:space="preserve"> and after deduction of the amounts recoverable from reinsurance contracts and SPVs</w:t>
      </w:r>
      <w:r w:rsidR="00E5539E">
        <w:rPr>
          <w:rFonts w:ascii="Arial" w:hAnsi="Arial" w:cs="Arial"/>
        </w:rPr>
        <w:t>.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Pr="005B4EE1">
        <w:rPr>
          <w:rFonts w:ascii="Arial" w:hAnsi="Arial" w:cs="Arial"/>
        </w:rPr>
        <w:t xml:space="preserve"> </w:t>
      </w:r>
      <w:r w:rsidR="00E5539E" w:rsidRPr="00E5539E">
        <w:rPr>
          <w:rFonts w:ascii="Arial" w:hAnsi="Arial" w:cs="Arial"/>
        </w:rPr>
        <w:t xml:space="preserve">- </w:t>
      </w:r>
      <w:r w:rsidR="00160D9F" w:rsidRPr="00E5539E">
        <w:rPr>
          <w:rFonts w:ascii="Arial" w:hAnsi="Arial" w:cs="Arial"/>
        </w:rPr>
        <w:t>i.e.</w:t>
      </w:r>
      <w:r w:rsidR="00E5539E" w:rsidRPr="00E5539E">
        <w:rPr>
          <w:rFonts w:ascii="Arial" w:hAnsi="Arial" w:cs="Arial"/>
        </w:rPr>
        <w:t xml:space="preserve"> if the technical provisions for a particular line of business are negative, then zero should be reported for that line of business</w:t>
      </w:r>
      <w:r w:rsidR="00E5539E">
        <w:rPr>
          <w:rFonts w:ascii="Arial" w:hAnsi="Arial" w:cs="Arial"/>
        </w:rPr>
        <w:t>.</w:t>
      </w:r>
    </w:p>
    <w:p w14:paraId="2FCF95F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49B82115"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37D9F700"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A832BB">
        <w:rPr>
          <w:rFonts w:ascii="Arial" w:hAnsi="Arial" w:cs="Arial"/>
        </w:rPr>
        <w:t xml:space="preserve"> </w:t>
      </w:r>
      <w:r w:rsidR="00A832BB" w:rsidRPr="00302C6D">
        <w:rPr>
          <w:rFonts w:ascii="Arial" w:hAnsi="Arial" w:cs="Arial"/>
        </w:rPr>
        <w:t>(R0250, C0060)</w:t>
      </w:r>
      <w:r w:rsidR="00A832BB" w:rsidRPr="005B4EE1">
        <w:rPr>
          <w:rFonts w:ascii="Arial" w:hAnsi="Arial" w:cs="Arial"/>
          <w:b/>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3FE582B5" w14:textId="77777777"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w:t>
      </w:r>
      <w:r w:rsidR="00A832BB">
        <w:rPr>
          <w:rFonts w:ascii="Arial" w:hAnsi="Arial" w:cs="Arial"/>
        </w:rPr>
        <w:t xml:space="preserve"> (R0310, C0070)</w:t>
      </w:r>
      <w:r w:rsidRPr="005B4EE1">
        <w:rPr>
          <w:rFonts w:ascii="Arial" w:hAnsi="Arial" w:cs="Arial"/>
        </w:rPr>
        <w:t>: This should agree to the SCR amount reported in QSR220,</w:t>
      </w:r>
      <w:r w:rsidR="005B4EE1">
        <w:rPr>
          <w:rFonts w:ascii="Arial" w:hAnsi="Arial" w:cs="Arial"/>
        </w:rPr>
        <w:t xml:space="preserve"> </w:t>
      </w:r>
      <w:r w:rsidRPr="005B4EE1">
        <w:rPr>
          <w:rFonts w:ascii="Arial" w:hAnsi="Arial" w:cs="Arial"/>
        </w:rPr>
        <w:t>A9</w:t>
      </w:r>
      <w:r w:rsidR="00A832BB">
        <w:rPr>
          <w:rFonts w:ascii="Arial" w:hAnsi="Arial" w:cs="Arial"/>
        </w:rPr>
        <w:t xml:space="preserve"> (R0580, C0010)</w:t>
      </w:r>
      <w:r w:rsidRPr="005B4EE1">
        <w:rPr>
          <w:rFonts w:ascii="Arial" w:hAnsi="Arial" w:cs="Arial"/>
        </w:rPr>
        <w:t>.</w:t>
      </w:r>
    </w:p>
    <w:p w14:paraId="62D42D13"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w:t>
      </w:r>
      <w:r w:rsidR="00A832BB">
        <w:rPr>
          <w:rFonts w:ascii="Arial" w:hAnsi="Arial" w:cs="Arial"/>
        </w:rPr>
        <w:t xml:space="preserve">(R0320, C0070) </w:t>
      </w:r>
      <w:r w:rsidRPr="005B4EE1">
        <w:rPr>
          <w:rFonts w:ascii="Arial" w:hAnsi="Arial" w:cs="Arial"/>
        </w:rPr>
        <w:t>and floor</w:t>
      </w:r>
      <w:r w:rsidR="00A832BB">
        <w:rPr>
          <w:rFonts w:ascii="Arial" w:hAnsi="Arial" w:cs="Arial"/>
        </w:rPr>
        <w:t xml:space="preserve"> (R0330, C0070)</w:t>
      </w:r>
      <w:r w:rsidRPr="005B4EE1">
        <w:rPr>
          <w:rFonts w:ascii="Arial" w:hAnsi="Arial" w:cs="Arial"/>
        </w:rPr>
        <w:t>: MCR should fall between 25% (floor) and 45% (cap) of the syndicate’s SCR as reported on line 8.</w:t>
      </w:r>
    </w:p>
    <w:p w14:paraId="00D20B25" w14:textId="77777777" w:rsidR="004A1C88" w:rsidRPr="005B4EE1" w:rsidRDefault="004A1C88" w:rsidP="00452041">
      <w:pPr>
        <w:spacing w:after="120" w:line="280" w:lineRule="atLeast"/>
        <w:rPr>
          <w:rFonts w:ascii="Arial" w:hAnsi="Arial" w:cs="Arial"/>
        </w:rPr>
      </w:pPr>
      <w:r w:rsidRPr="005B4EE1">
        <w:rPr>
          <w:rFonts w:ascii="Arial" w:hAnsi="Arial" w:cs="Arial"/>
          <w:b/>
        </w:rPr>
        <w:lastRenderedPageBreak/>
        <w:t>Line 23</w:t>
      </w:r>
      <w:r w:rsidRPr="005B4EE1">
        <w:rPr>
          <w:rFonts w:ascii="Arial" w:hAnsi="Arial" w:cs="Arial"/>
        </w:rPr>
        <w:t xml:space="preserve"> – Absolute floor of the MCR</w:t>
      </w:r>
      <w:r w:rsidR="00A832BB">
        <w:rPr>
          <w:rFonts w:ascii="Arial" w:hAnsi="Arial" w:cs="Arial"/>
        </w:rPr>
        <w:t xml:space="preserve"> (R0350, C0070)</w:t>
      </w:r>
      <w:r w:rsidRPr="005B4EE1">
        <w:rPr>
          <w:rFonts w:ascii="Arial" w:hAnsi="Arial" w:cs="Arial"/>
        </w:rPr>
        <w:t>: MCR reported shall have an absolute floor of:</w:t>
      </w:r>
    </w:p>
    <w:p w14:paraId="0F476407" w14:textId="77777777" w:rsidR="000C053C" w:rsidRPr="000C053C" w:rsidRDefault="000C053C" w:rsidP="000C053C">
      <w:pPr>
        <w:numPr>
          <w:ilvl w:val="0"/>
          <w:numId w:val="38"/>
        </w:numPr>
        <w:spacing w:after="120" w:line="280" w:lineRule="atLeast"/>
        <w:rPr>
          <w:rFonts w:ascii="Arial" w:hAnsi="Arial" w:cs="Arial"/>
        </w:rPr>
      </w:pPr>
      <w:r w:rsidRPr="000C053C">
        <w:rPr>
          <w:rFonts w:ascii="Arial" w:hAnsi="Arial" w:cs="Arial"/>
          <w:lang w:val="en-US"/>
        </w:rPr>
        <w:t>EUR 4,000,000 for life insurance undertakings, including captive insurance undertakings.</w:t>
      </w:r>
    </w:p>
    <w:p w14:paraId="759AC2FA" w14:textId="77777777" w:rsidR="002166C7" w:rsidRDefault="002166C7" w:rsidP="00592045">
      <w:pPr>
        <w:spacing w:after="120" w:line="280" w:lineRule="atLeast"/>
        <w:rPr>
          <w:rFonts w:ascii="Arial" w:hAnsi="Arial" w:cs="Arial"/>
        </w:rPr>
      </w:pPr>
    </w:p>
    <w:p w14:paraId="4D36F37F" w14:textId="77777777" w:rsidR="00592045" w:rsidRPr="00285149" w:rsidRDefault="00592045" w:rsidP="00592045">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8</w:t>
      </w:r>
      <w:r w:rsidRPr="00285149">
        <w:rPr>
          <w:rFonts w:ascii="Arial" w:hAnsi="Arial" w:cs="Arial"/>
          <w:b/>
          <w:sz w:val="22"/>
          <w:szCs w:val="22"/>
        </w:rPr>
        <w:tab/>
        <w:t>QSR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50282095" w14:textId="77777777" w:rsidR="00592045" w:rsidRPr="006C2744" w:rsidRDefault="00592045" w:rsidP="0059204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Cash Transfer Statement</w:t>
      </w:r>
      <w:r w:rsidR="00DB1DDE" w:rsidRPr="006C2744">
        <w:rPr>
          <w:rFonts w:ascii="Arial" w:hAnsi="Arial" w:cs="Arial"/>
          <w:i/>
        </w:rPr>
        <w:t xml:space="preserve">. </w:t>
      </w:r>
      <w:r w:rsidR="00DB1DDE" w:rsidRPr="006C2744">
        <w:rPr>
          <w:rFonts w:ascii="Arial" w:hAnsi="Arial" w:cs="Arial"/>
          <w:b/>
          <w:i/>
        </w:rPr>
        <w:t>This form is only required at Q4</w:t>
      </w:r>
    </w:p>
    <w:p w14:paraId="2E76DEFA" w14:textId="77777777" w:rsidR="00592045" w:rsidRPr="006C2744" w:rsidRDefault="00592045" w:rsidP="00592045">
      <w:pPr>
        <w:spacing w:before="120" w:line="280" w:lineRule="atLeast"/>
        <w:rPr>
          <w:rFonts w:ascii="Arial" w:hAnsi="Arial" w:cs="Arial"/>
        </w:rPr>
      </w:pPr>
      <w:r w:rsidRPr="006C2744">
        <w:rPr>
          <w:rFonts w:ascii="Arial" w:hAnsi="Arial" w:cs="Arial"/>
        </w:rPr>
        <w:t>The Cash Transfer Statement must be completed in accordance with the instructions below.</w:t>
      </w:r>
    </w:p>
    <w:p w14:paraId="2154F769" w14:textId="77777777" w:rsidR="00592045" w:rsidRPr="006C2744" w:rsidRDefault="00592045" w:rsidP="00592045">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53A441C6" w14:textId="77777777" w:rsidR="00592045" w:rsidRPr="006C2744" w:rsidRDefault="00592045" w:rsidP="006C5EE3">
      <w:pPr>
        <w:pStyle w:val="ListParagraph"/>
        <w:numPr>
          <w:ilvl w:val="0"/>
          <w:numId w:val="49"/>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5F7C1F78" w14:textId="77777777" w:rsidR="00592045" w:rsidRDefault="002166C7">
      <w:pPr>
        <w:pStyle w:val="Heading3"/>
        <w:numPr>
          <w:ilvl w:val="0"/>
          <w:numId w:val="0"/>
        </w:numPr>
        <w:rPr>
          <w:rFonts w:cs="Arial"/>
          <w:sz w:val="20"/>
        </w:rPr>
      </w:pPr>
      <w:r>
        <w:rPr>
          <w:rFonts w:cs="Arial"/>
          <w:sz w:val="20"/>
        </w:rPr>
        <w:t>A</w:t>
      </w:r>
      <w:r w:rsidR="00592045" w:rsidRPr="006C2744">
        <w:rPr>
          <w:rFonts w:cs="Arial"/>
          <w:sz w:val="20"/>
        </w:rPr>
        <w:t xml:space="preserve">ll syndicates with an open reporting year (naturally open or run-off) must use the </w:t>
      </w:r>
      <w:r w:rsidR="00C93F38" w:rsidRPr="006C2744">
        <w:rPr>
          <w:rFonts w:cs="Arial"/>
          <w:sz w:val="20"/>
        </w:rPr>
        <w:t>QSR</w:t>
      </w:r>
      <w:r w:rsidR="00592045" w:rsidRPr="006C2744">
        <w:rPr>
          <w:rFonts w:cs="Arial"/>
          <w:sz w:val="20"/>
        </w:rPr>
        <w:t>923 to report the open year transfers.</w:t>
      </w:r>
    </w:p>
    <w:p w14:paraId="37D036EE" w14:textId="77777777" w:rsidR="006C2744" w:rsidRPr="00443189" w:rsidRDefault="006C2744" w:rsidP="006C2744">
      <w:pPr>
        <w:rPr>
          <w:rFonts w:ascii="Arial" w:hAnsi="Arial" w:cs="Arial"/>
        </w:rPr>
      </w:pPr>
    </w:p>
    <w:p w14:paraId="49D8175C" w14:textId="77777777" w:rsidR="00592045" w:rsidRPr="006C2744" w:rsidRDefault="00592045" w:rsidP="00117046">
      <w:pPr>
        <w:pStyle w:val="Defaul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02050888" w14:textId="77777777" w:rsidR="00592045" w:rsidRPr="006C2744" w:rsidRDefault="00592045" w:rsidP="00117046">
      <w:pPr>
        <w:pStyle w:val="Default"/>
        <w:rPr>
          <w:sz w:val="20"/>
          <w:szCs w:val="20"/>
        </w:rPr>
      </w:pPr>
      <w:r w:rsidRPr="006C2744">
        <w:rPr>
          <w:sz w:val="20"/>
          <w:szCs w:val="20"/>
        </w:rPr>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1624F04C" w14:textId="77777777" w:rsidR="00592045" w:rsidRPr="006C2744" w:rsidRDefault="00592045" w:rsidP="00117046">
      <w:pPr>
        <w:pStyle w:val="Defaul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22235181" w14:textId="77777777" w:rsidR="00592045" w:rsidRPr="006C2744" w:rsidRDefault="00592045" w:rsidP="00117046">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3FFA8DB1" w14:textId="77777777" w:rsidR="00FB12A3" w:rsidRPr="006C2744" w:rsidRDefault="00FB12A3" w:rsidP="00117046">
      <w:pPr>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QSR923 for </w:t>
      </w:r>
      <w:r w:rsidR="008C4B3D" w:rsidRPr="006C2744">
        <w:rPr>
          <w:rFonts w:ascii="Arial" w:hAnsi="Arial" w:cs="Arial"/>
        </w:rPr>
        <w:t>the year of account should be “ticked” and resulting validations on the form adhere</w:t>
      </w:r>
      <w:r w:rsidR="00F357E9">
        <w:rPr>
          <w:rFonts w:ascii="Arial" w:hAnsi="Arial" w:cs="Arial"/>
        </w:rPr>
        <w:t>d</w:t>
      </w:r>
      <w:r w:rsidR="008C4B3D" w:rsidRPr="006C2744">
        <w:rPr>
          <w:rFonts w:ascii="Arial" w:hAnsi="Arial" w:cs="Arial"/>
        </w:rPr>
        <w:t xml:space="preserve"> to.</w:t>
      </w:r>
    </w:p>
    <w:p w14:paraId="0A1A9240" w14:textId="77777777" w:rsidR="006C2744" w:rsidRDefault="006C2744" w:rsidP="008C4B3D">
      <w:pPr>
        <w:pStyle w:val="Heading3"/>
        <w:numPr>
          <w:ilvl w:val="0"/>
          <w:numId w:val="0"/>
        </w:numPr>
        <w:rPr>
          <w:rFonts w:cs="Arial"/>
          <w:sz w:val="20"/>
        </w:rPr>
      </w:pPr>
    </w:p>
    <w:p w14:paraId="386957A6" w14:textId="77777777" w:rsidR="008C4B3D" w:rsidRPr="006C2744" w:rsidRDefault="008C4B3D" w:rsidP="008C4B3D">
      <w:pPr>
        <w:pStyle w:val="Heading3"/>
        <w:numPr>
          <w:ilvl w:val="0"/>
          <w:numId w:val="0"/>
        </w:numPr>
        <w:rPr>
          <w:rFonts w:cs="Arial"/>
          <w:b w:val="0"/>
          <w:sz w:val="20"/>
        </w:rPr>
      </w:pPr>
      <w:r w:rsidRPr="006C2744">
        <w:rPr>
          <w:rFonts w:cs="Arial"/>
          <w:b w:val="0"/>
          <w:sz w:val="20"/>
        </w:rPr>
        <w:t>Where a managing agent proposes to make a transfer it must:</w:t>
      </w:r>
    </w:p>
    <w:p w14:paraId="3C545033" w14:textId="77777777" w:rsidR="00592045" w:rsidRPr="006C2744" w:rsidRDefault="00592045" w:rsidP="004879CA">
      <w:pPr>
        <w:pStyle w:val="Default"/>
        <w:spacing w:after="0"/>
        <w:jc w:val="both"/>
        <w:rPr>
          <w:sz w:val="20"/>
          <w:szCs w:val="20"/>
        </w:rPr>
      </w:pPr>
      <w:r w:rsidRPr="006C2744">
        <w:rPr>
          <w:sz w:val="20"/>
          <w:szCs w:val="20"/>
        </w:rPr>
        <w:t>(</w:t>
      </w:r>
      <w:proofErr w:type="spellStart"/>
      <w:r w:rsidRPr="006C2744">
        <w:rPr>
          <w:sz w:val="20"/>
          <w:szCs w:val="20"/>
        </w:rPr>
        <w:t>i</w:t>
      </w:r>
      <w:proofErr w:type="spellEnd"/>
      <w:r w:rsidRPr="006C2744">
        <w:rPr>
          <w:sz w:val="20"/>
          <w:szCs w:val="20"/>
        </w:rPr>
        <w:t xml:space="preserve">) Prepare cash flow projections for the business of the syndicate in order to satisfy itself that the transfer of syndicate funds will not cause cash flow difficulties in the future; </w:t>
      </w:r>
    </w:p>
    <w:p w14:paraId="099586A7" w14:textId="77777777" w:rsidR="00592045" w:rsidRPr="006C2744" w:rsidRDefault="00592045" w:rsidP="004879CA">
      <w:pPr>
        <w:pStyle w:val="Default"/>
        <w:spacing w:after="0" w:line="240" w:lineRule="auto"/>
        <w:jc w:val="both"/>
        <w:rPr>
          <w:sz w:val="20"/>
          <w:szCs w:val="20"/>
        </w:rPr>
      </w:pPr>
      <w:r w:rsidRPr="006C2744">
        <w:rPr>
          <w:sz w:val="20"/>
          <w:szCs w:val="20"/>
        </w:rPr>
        <w:t xml:space="preserve">(ii) Complete and return </w:t>
      </w:r>
      <w:r w:rsidR="00C93F38" w:rsidRPr="006C2744">
        <w:rPr>
          <w:sz w:val="20"/>
          <w:szCs w:val="20"/>
        </w:rPr>
        <w:t>QSR</w:t>
      </w:r>
      <w:r w:rsidRPr="006C2744">
        <w:rPr>
          <w:sz w:val="20"/>
          <w:szCs w:val="20"/>
        </w:rPr>
        <w:t xml:space="preserve">923 within the </w:t>
      </w:r>
      <w:r w:rsidR="00C93F38" w:rsidRPr="006C2744">
        <w:rPr>
          <w:sz w:val="20"/>
          <w:szCs w:val="20"/>
        </w:rPr>
        <w:t>QSR</w:t>
      </w:r>
      <w:r w:rsidRPr="006C2744">
        <w:rPr>
          <w:sz w:val="20"/>
          <w:szCs w:val="20"/>
        </w:rPr>
        <w:t>;</w:t>
      </w:r>
    </w:p>
    <w:p w14:paraId="485B6B24" w14:textId="77777777" w:rsidR="00592045" w:rsidRPr="006C2744" w:rsidRDefault="00592045" w:rsidP="006C5EE3">
      <w:pPr>
        <w:pStyle w:val="Default"/>
        <w:numPr>
          <w:ilvl w:val="0"/>
          <w:numId w:val="50"/>
        </w:numPr>
        <w:spacing w:after="0" w:line="240" w:lineRule="auto"/>
        <w:ind w:hanging="720"/>
        <w:jc w:val="both"/>
        <w:rPr>
          <w:sz w:val="20"/>
          <w:szCs w:val="20"/>
        </w:rPr>
      </w:pPr>
      <w:r w:rsidRPr="006C2744">
        <w:rPr>
          <w:sz w:val="20"/>
          <w:szCs w:val="20"/>
        </w:rPr>
        <w:t xml:space="preserve">(iii) Use the balance sheet rate of exchange for US Dollars in order to calculate the sterling equivalent of any cash transfer to be effected in US dollars. </w:t>
      </w:r>
    </w:p>
    <w:p w14:paraId="762A1FF0" w14:textId="77777777" w:rsidR="004879CA" w:rsidRDefault="004879CA" w:rsidP="004879CA">
      <w:pPr>
        <w:pStyle w:val="Default"/>
        <w:spacing w:after="0"/>
        <w:jc w:val="both"/>
        <w:rPr>
          <w:sz w:val="20"/>
          <w:szCs w:val="20"/>
        </w:rPr>
      </w:pPr>
    </w:p>
    <w:p w14:paraId="49182E8D" w14:textId="77777777" w:rsidR="00592045" w:rsidRPr="006C2744" w:rsidRDefault="00592045" w:rsidP="004879CA">
      <w:pPr>
        <w:pStyle w:val="Default"/>
        <w:spacing w:after="0"/>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3FBEB482" w14:textId="77777777" w:rsidR="004879CA" w:rsidRDefault="004879CA" w:rsidP="004879CA">
      <w:pPr>
        <w:pStyle w:val="Default"/>
        <w:spacing w:after="0"/>
        <w:jc w:val="both"/>
        <w:rPr>
          <w:sz w:val="20"/>
          <w:szCs w:val="20"/>
        </w:rPr>
      </w:pPr>
    </w:p>
    <w:p w14:paraId="121FBE8A" w14:textId="0C9656B5" w:rsidR="00592045" w:rsidRDefault="00592045" w:rsidP="004879CA">
      <w:pPr>
        <w:pStyle w:val="Default"/>
        <w:spacing w:after="0"/>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66DD6968" w14:textId="77777777" w:rsidR="00376DE3" w:rsidRPr="004879CA"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4879CA">
        <w:rPr>
          <w:rFonts w:cs="Arial"/>
          <w:sz w:val="20"/>
        </w:rPr>
        <w:t>Impact of QSR002</w:t>
      </w:r>
    </w:p>
    <w:p w14:paraId="57219A3D" w14:textId="77777777" w:rsidR="004879CA" w:rsidRDefault="00592045" w:rsidP="004879CA">
      <w:pPr>
        <w:pStyle w:val="Heading3"/>
        <w:numPr>
          <w:ilvl w:val="0"/>
          <w:numId w:val="0"/>
        </w:numPr>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C93F38" w:rsidRPr="004879CA">
        <w:rPr>
          <w:rFonts w:cs="Arial"/>
          <w:b w:val="0"/>
          <w:sz w:val="20"/>
        </w:rPr>
        <w:t>QSR</w:t>
      </w:r>
      <w:r w:rsidRPr="004879CA">
        <w:rPr>
          <w:rFonts w:cs="Arial"/>
          <w:b w:val="0"/>
          <w:sz w:val="20"/>
        </w:rPr>
        <w:t xml:space="preserve">002 (Solvency II Balance Sheet) column A or C line </w:t>
      </w:r>
      <w:r w:rsidR="004879CA">
        <w:rPr>
          <w:rFonts w:cs="Arial"/>
          <w:b w:val="0"/>
          <w:sz w:val="20"/>
        </w:rPr>
        <w:t>90</w:t>
      </w:r>
      <w:r w:rsidRPr="004879CA">
        <w:rPr>
          <w:rFonts w:cs="Arial"/>
          <w:b w:val="0"/>
          <w:sz w:val="20"/>
        </w:rPr>
        <w:t xml:space="preserve"> for the relevant reporting year of account.</w:t>
      </w:r>
      <w:r w:rsidR="004879CA">
        <w:rPr>
          <w:rFonts w:cs="Arial"/>
          <w:b w:val="0"/>
          <w:sz w:val="20"/>
        </w:rPr>
        <w:t xml:space="preserve">  </w:t>
      </w:r>
    </w:p>
    <w:p w14:paraId="3F26FFBC" w14:textId="77777777" w:rsidR="004879CA" w:rsidRDefault="004879CA" w:rsidP="004879CA">
      <w:pPr>
        <w:pStyle w:val="Heading3"/>
        <w:numPr>
          <w:ilvl w:val="0"/>
          <w:numId w:val="0"/>
        </w:numPr>
        <w:rPr>
          <w:rFonts w:cs="Arial"/>
          <w:b w:val="0"/>
          <w:sz w:val="20"/>
        </w:rPr>
      </w:pPr>
    </w:p>
    <w:p w14:paraId="3059D9EA" w14:textId="77777777" w:rsidR="00376DE3" w:rsidRPr="006C2744"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6C2744">
        <w:rPr>
          <w:rFonts w:cs="Arial"/>
          <w:sz w:val="20"/>
        </w:rPr>
        <w:t>Lloyd’s American Trust Fund (LATF) (Life syndicates only)</w:t>
      </w:r>
    </w:p>
    <w:p w14:paraId="0209B62F" w14:textId="77777777" w:rsidR="00592045" w:rsidRPr="006C2744" w:rsidRDefault="00592045" w:rsidP="00117046">
      <w:pPr>
        <w:pStyle w:val="Default"/>
        <w:jc w:val="both"/>
        <w:rPr>
          <w:sz w:val="20"/>
          <w:szCs w:val="20"/>
        </w:rPr>
      </w:pPr>
      <w:r w:rsidRPr="006C2744">
        <w:rPr>
          <w:sz w:val="20"/>
          <w:szCs w:val="20"/>
        </w:rPr>
        <w:lastRenderedPageBreak/>
        <w: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t>
      </w:r>
      <w:r w:rsidR="00AB30DC">
        <w:rPr>
          <w:sz w:val="20"/>
          <w:szCs w:val="20"/>
        </w:rPr>
        <w:t>Central Finance</w:t>
      </w:r>
      <w:r w:rsidRPr="006C2744">
        <w:rPr>
          <w:sz w:val="20"/>
          <w:szCs w:val="20"/>
        </w:rPr>
        <w:t xml:space="preserve"> and Market Services. Where members are not LATF solvent, Market Services will retain any LATF balances in separate member level LATF accounts. </w:t>
      </w:r>
    </w:p>
    <w:p w14:paraId="499EEA30" w14:textId="291D871D" w:rsidR="00592045" w:rsidRPr="006C2744" w:rsidRDefault="00592045">
      <w:pPr>
        <w:pStyle w:val="Heading3"/>
        <w:numPr>
          <w:ilvl w:val="0"/>
          <w:numId w:val="0"/>
        </w:numPr>
        <w:rPr>
          <w:rFonts w:cs="Arial"/>
          <w:sz w:val="20"/>
        </w:rPr>
      </w:pPr>
      <w:r w:rsidRPr="006C2744">
        <w:rPr>
          <w:rFonts w:cs="Arial"/>
          <w:sz w:val="20"/>
        </w:rPr>
        <w:t>Transfers from the LATF cannot exceed any surplus. Any LATF profits (either via DD File results or open year transfers) available for release are dependent upon completion of the LATF Solvency Test.</w:t>
      </w:r>
    </w:p>
    <w:p w14:paraId="708B075B" w14:textId="77777777" w:rsidR="00376DE3" w:rsidRPr="006C2744" w:rsidRDefault="00376DE3" w:rsidP="00376DE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Approval</w:t>
      </w:r>
    </w:p>
    <w:p w14:paraId="20A62FB0" w14:textId="153F1EDE" w:rsidR="00063A95" w:rsidRDefault="00592045" w:rsidP="00174713">
      <w:pPr>
        <w:pStyle w:val="Heading3"/>
        <w:numPr>
          <w:ilvl w:val="0"/>
          <w:numId w:val="0"/>
        </w:numPr>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w:t>
      </w:r>
      <w:r w:rsidR="002C67A3">
        <w:rPr>
          <w:rFonts w:cs="Arial"/>
          <w:b w:val="0"/>
          <w:sz w:val="20"/>
        </w:rPr>
        <w:t xml:space="preserve">Signed </w:t>
      </w:r>
      <w:r w:rsidRPr="004879CA">
        <w:rPr>
          <w:rFonts w:cs="Arial"/>
          <w:b w:val="0"/>
          <w:sz w:val="20"/>
        </w:rPr>
        <w:t xml:space="preserve">copies of all </w:t>
      </w:r>
      <w:r w:rsidR="00C93F38" w:rsidRPr="004879CA">
        <w:rPr>
          <w:rFonts w:cs="Arial"/>
          <w:b w:val="0"/>
          <w:sz w:val="20"/>
        </w:rPr>
        <w:t>QSR</w:t>
      </w:r>
      <w:r w:rsidRPr="004879CA">
        <w:rPr>
          <w:rFonts w:cs="Arial"/>
          <w:b w:val="0"/>
          <w:sz w:val="20"/>
        </w:rPr>
        <w:t xml:space="preserve">923s are required, even where no transfer is to be made. This will avoid the need for us to contact any syndicates that report an open year solvency surplus but leave </w:t>
      </w:r>
      <w:r w:rsidR="00C93F38" w:rsidRPr="004879CA">
        <w:rPr>
          <w:rFonts w:cs="Arial"/>
          <w:b w:val="0"/>
          <w:sz w:val="20"/>
        </w:rPr>
        <w:t>QSR</w:t>
      </w:r>
      <w:r w:rsidRPr="004879CA">
        <w:rPr>
          <w:rFonts w:cs="Arial"/>
          <w:b w:val="0"/>
          <w:sz w:val="20"/>
        </w:rPr>
        <w:t>923 blank, to check that this is the intention rather than an oversight. A nil return does not require board approval, the signature of one director or compliance officer will be sufficient.</w:t>
      </w:r>
    </w:p>
    <w:p w14:paraId="22802FB5" w14:textId="77777777" w:rsidR="00CB7F9F" w:rsidRDefault="00CB7F9F">
      <w:pPr>
        <w:rPr>
          <w:rFonts w:ascii="Sansa Lloyds" w:hAnsi="Sansa Lloyds"/>
          <w:b/>
          <w:color w:val="DECC12"/>
          <w:sz w:val="32"/>
        </w:rPr>
      </w:pPr>
      <w:r>
        <w:rPr>
          <w:color w:val="DECC12"/>
        </w:rPr>
        <w:br w:type="page"/>
      </w:r>
    </w:p>
    <w:p w14:paraId="3CB628B1" w14:textId="77777777"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lastRenderedPageBreak/>
        <w:t>Section 4</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508C2EF9" w14:textId="77777777" w:rsidR="007B158E" w:rsidRPr="00FD257A" w:rsidRDefault="007B158E" w:rsidP="007B158E">
      <w:pPr>
        <w:pStyle w:val="LloydsH3"/>
        <w:numPr>
          <w:ilvl w:val="1"/>
          <w:numId w:val="20"/>
        </w:numPr>
        <w:spacing w:after="120" w:line="280" w:lineRule="atLeast"/>
      </w:pPr>
      <w:bookmarkStart w:id="2873" w:name="_Toc352675431"/>
      <w:r>
        <w:t>QAD</w:t>
      </w:r>
      <w:r w:rsidRPr="00FD257A">
        <w:t>010</w:t>
      </w:r>
      <w:r>
        <w:t>:</w:t>
      </w:r>
      <w:r w:rsidRPr="00FD257A">
        <w:t xml:space="preserve"> Control page</w:t>
      </w:r>
      <w:bookmarkEnd w:id="2873"/>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39"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 xml:space="preserve">(QSD230s, QAD233s, QAD234s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7777777" w:rsidR="007B158E" w:rsidRPr="00A13898" w:rsidRDefault="007B158E" w:rsidP="007B158E">
      <w:pPr>
        <w:pStyle w:val="LloydsH3"/>
        <w:numPr>
          <w:ilvl w:val="1"/>
          <w:numId w:val="20"/>
        </w:numPr>
        <w:spacing w:after="120" w:line="280" w:lineRule="atLeast"/>
        <w:rPr>
          <w:color w:val="auto"/>
        </w:rPr>
      </w:pPr>
      <w:bookmarkStart w:id="2874" w:name="_Toc343003102"/>
      <w:bookmarkStart w:id="2875"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874"/>
      <w:bookmarkEnd w:id="2875"/>
      <w:r>
        <w:rPr>
          <w:color w:val="auto"/>
        </w:rPr>
        <w:t>)</w:t>
      </w:r>
      <w:r w:rsidRPr="00A13898">
        <w:rPr>
          <w:color w:val="auto"/>
        </w:rPr>
        <w:t xml:space="preserve"> </w:t>
      </w:r>
      <w:r>
        <w:rPr>
          <w:color w:val="auto"/>
        </w:rPr>
        <w:t>(S.06.02.01)</w:t>
      </w:r>
    </w:p>
    <w:p w14:paraId="4154A7D3" w14:textId="77777777"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77777777" w:rsidR="007B158E" w:rsidRPr="004A0B7A" w:rsidRDefault="007B158E" w:rsidP="007B158E">
      <w:pPr>
        <w:spacing w:after="120"/>
        <w:rPr>
          <w:rFonts w:ascii="Arial" w:hAnsi="Arial" w:cs="Arial"/>
          <w:b/>
        </w:rPr>
      </w:pPr>
      <w:r w:rsidRPr="004A0B7A">
        <w:rPr>
          <w:rFonts w:ascii="Arial" w:hAnsi="Arial" w:cs="Arial"/>
          <w:b/>
        </w:rPr>
        <w:t xml:space="preserve">QSR002 balance sheet </w:t>
      </w:r>
      <w:r>
        <w:rPr>
          <w:rFonts w:ascii="Arial" w:hAnsi="Arial" w:cs="Arial"/>
          <w:b/>
        </w:rPr>
        <w:t>and</w:t>
      </w:r>
      <w:r w:rsidRPr="004A0B7A">
        <w:rPr>
          <w:rFonts w:ascii="Arial" w:hAnsi="Arial" w:cs="Arial"/>
          <w:b/>
        </w:rPr>
        <w:t xml:space="preserve"> QAD230 detailed asset listing</w:t>
      </w:r>
      <w:r>
        <w:rPr>
          <w:rFonts w:ascii="Arial" w:hAnsi="Arial" w:cs="Arial"/>
          <w:b/>
        </w:rPr>
        <w:t xml:space="preserve"> must agree by asset category</w:t>
      </w:r>
    </w:p>
    <w:p w14:paraId="6E64FEB7" w14:textId="77777777" w:rsidR="007B158E" w:rsidRDefault="007B158E" w:rsidP="007B158E">
      <w:pPr>
        <w:rPr>
          <w:rFonts w:ascii="Arial" w:hAnsi="Arial" w:cs="Arial"/>
          <w:lang w:val="en-US"/>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w:t>
      </w:r>
      <w:r w:rsidRPr="00647AA8">
        <w:rPr>
          <w:rFonts w:ascii="Arial" w:hAnsi="Arial" w:cs="Arial"/>
          <w:lang w:val="en-US"/>
        </w:rPr>
        <w:t xml:space="preserve"> of asset reported on QSR002, that the amount reported on QSR002 </w:t>
      </w:r>
      <w:r>
        <w:rPr>
          <w:rFonts w:ascii="Arial" w:hAnsi="Arial" w:cs="Arial"/>
          <w:lang w:val="en-US"/>
        </w:rPr>
        <w:t xml:space="preserve">column C </w:t>
      </w:r>
      <w:r w:rsidRPr="00647AA8">
        <w:rPr>
          <w:rFonts w:ascii="Arial" w:hAnsi="Arial" w:cs="Arial"/>
          <w:lang w:val="en-US"/>
        </w:rPr>
        <w:t>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reported on QAD230 as identified by CIC code on that form, by reference to the allocation of CIC codes as set out in the instructions for QSR002. The playback summary </w:t>
      </w:r>
      <w:r>
        <w:rPr>
          <w:rFonts w:ascii="Arial" w:hAnsi="Arial" w:cs="Arial"/>
          <w:lang w:val="en-US"/>
        </w:rPr>
        <w:t>QAD</w:t>
      </w:r>
      <w:r w:rsidRPr="00647AA8">
        <w:rPr>
          <w:rFonts w:ascii="Arial" w:hAnsi="Arial" w:cs="Arial"/>
          <w:lang w:val="en-US"/>
        </w:rPr>
        <w:t xml:space="preserve">230s, which is the summary of </w:t>
      </w:r>
      <w:r>
        <w:rPr>
          <w:rFonts w:ascii="Arial" w:hAnsi="Arial" w:cs="Arial"/>
          <w:lang w:val="en-US"/>
        </w:rPr>
        <w:t>QAD</w:t>
      </w:r>
      <w:r w:rsidRPr="00647AA8">
        <w:rPr>
          <w:rFonts w:ascii="Arial" w:hAnsi="Arial" w:cs="Arial"/>
          <w:lang w:val="en-US"/>
        </w:rPr>
        <w:t xml:space="preserve">230 by each asset category, can be used to reconcile between QSR002 and </w:t>
      </w:r>
      <w:r>
        <w:rPr>
          <w:rFonts w:ascii="Arial" w:hAnsi="Arial" w:cs="Arial"/>
          <w:lang w:val="en-US"/>
        </w:rPr>
        <w:t>QAD230 and total Solvency II amount must agree between two forms</w:t>
      </w:r>
      <w:r w:rsidRPr="00647AA8">
        <w:rPr>
          <w:rFonts w:ascii="Arial" w:hAnsi="Arial" w:cs="Arial"/>
          <w:lang w:val="en-US"/>
        </w:rPr>
        <w:t>. The reconciliation must be done at each syndicate level return, not at managing agent level. Agents will be required to resubmit both QSR and QAD where this is not the case.</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proofErr w:type="spellStart"/>
      <w:r w:rsidRPr="006333FE">
        <w:rPr>
          <w:rFonts w:ascii="Arial" w:hAnsi="Arial" w:cs="Arial"/>
        </w:rPr>
        <w:t>recoverables</w:t>
      </w:r>
      <w:proofErr w:type="spellEnd"/>
      <w:r w:rsidRPr="006333FE">
        <w:rPr>
          <w:rFonts w:ascii="Arial" w:hAnsi="Arial" w:cs="Arial"/>
        </w:rPr>
        <w:t xml:space="preserve">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 xml:space="preserve">Mortgages and loans (CIC##8#) to individuals, including loans on policies, shall be reported in two lines, one line regarding loans to the administrative, management and supervisory body, for each </w:t>
      </w:r>
      <w:r w:rsidRPr="006333FE">
        <w:rPr>
          <w:rFonts w:ascii="Arial" w:hAnsi="Arial" w:cs="Arial"/>
        </w:rPr>
        <w:lastRenderedPageBreak/>
        <w:t>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77777777" w:rsidR="007B158E" w:rsidRDefault="007B158E" w:rsidP="007B158E">
      <w:pPr>
        <w:spacing w:after="120" w:line="280" w:lineRule="atLeast"/>
        <w:rPr>
          <w:rFonts w:ascii="Arial" w:hAnsi="Arial" w:cs="Arial"/>
        </w:rPr>
      </w:pPr>
      <w:r>
        <w:rPr>
          <w:rFonts w:ascii="Arial" w:hAnsi="Arial" w:cs="Arial"/>
        </w:rPr>
        <w:t>This form will be used for collecting information required for the Lloyd’s Internal Model (LIM) as well as for reporting to the PRA. To ensure that adequate information for LIM is available, the original EIOPA template has been tailored to include fields to collect information on funds in syndicate (FIS). The two fields that have been added are market value (Non-FIS) and market value (FIS).</w:t>
      </w:r>
    </w:p>
    <w:p w14:paraId="190AAB5F" w14:textId="77777777" w:rsidR="007B158E" w:rsidRDefault="007B158E" w:rsidP="007B158E">
      <w:pPr>
        <w:spacing w:after="120" w:line="280" w:lineRule="atLeast"/>
        <w:rPr>
          <w:rFonts w:ascii="Arial" w:hAnsi="Arial" w:cs="Arial"/>
          <w:b/>
        </w:rPr>
      </w:pPr>
      <w:r>
        <w:rPr>
          <w:rFonts w:ascii="Arial" w:hAnsi="Arial" w:cs="Arial"/>
          <w:b/>
        </w:rPr>
        <w:t>Syndicate loans</w:t>
      </w:r>
    </w:p>
    <w:p w14:paraId="495D10A3" w14:textId="4A9AC951"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xml:space="preserve">, Y5312 and Y5295 </w:t>
      </w:r>
      <w:r w:rsidRPr="00E76B9B">
        <w:rPr>
          <w:rFonts w:ascii="Arial" w:hAnsi="Arial" w:cs="Arial"/>
          <w:bCs/>
          <w:color w:val="000000"/>
        </w:rPr>
        <w:t xml:space="preserve">for further details). Lloyd’s considers that the loans meet the criteria to be recognisable as an asset under FRS 102 2.27 and meet the conditions to be recognisable as a basic financial instrument under FRS 102 section 11. </w:t>
      </w:r>
      <w:r w:rsidR="009262D1" w:rsidRPr="00E76B9B">
        <w:rPr>
          <w:rFonts w:ascii="Arial" w:hAnsi="Arial" w:cs="Arial"/>
          <w:bCs/>
          <w:color w:val="000000"/>
        </w:rPr>
        <w:t xml:space="preserve">Syndicates should report these loans as part of assets on their balance sheet, and these loans should be accounted for within “Syndicate loans to the </w:t>
      </w:r>
      <w:r w:rsidR="009262D1">
        <w:rPr>
          <w:rFonts w:ascii="Arial" w:hAnsi="Arial" w:cs="Arial"/>
          <w:bCs/>
          <w:color w:val="000000"/>
        </w:rPr>
        <w:t>c</w:t>
      </w:r>
      <w:r w:rsidR="009262D1" w:rsidRPr="00E76B9B">
        <w:rPr>
          <w:rFonts w:ascii="Arial" w:hAnsi="Arial" w:cs="Arial"/>
          <w:bCs/>
          <w:color w:val="000000"/>
        </w:rPr>
        <w:t xml:space="preserve">entral </w:t>
      </w:r>
      <w:r w:rsidR="009262D1">
        <w:rPr>
          <w:rFonts w:ascii="Arial" w:hAnsi="Arial" w:cs="Arial"/>
          <w:bCs/>
          <w:color w:val="000000"/>
        </w:rPr>
        <w:t>f</w:t>
      </w:r>
      <w:r w:rsidR="009262D1" w:rsidRPr="00E76B9B">
        <w:rPr>
          <w:rFonts w:ascii="Arial" w:hAnsi="Arial" w:cs="Arial"/>
          <w:bCs/>
          <w:color w:val="000000"/>
        </w:rPr>
        <w:t xml:space="preserve">und” </w:t>
      </w:r>
      <w:r w:rsidR="009262D1">
        <w:rPr>
          <w:rFonts w:ascii="Arial" w:hAnsi="Arial" w:cs="Arial"/>
          <w:bCs/>
          <w:color w:val="000000"/>
        </w:rPr>
        <w:t>in the Syndicate Accounts</w:t>
      </w:r>
      <w:r w:rsidR="009262D1" w:rsidRPr="00E76B9B">
        <w:rPr>
          <w:rFonts w:ascii="Arial" w:hAnsi="Arial" w:cs="Arial"/>
          <w:bCs/>
          <w:color w:val="000000"/>
        </w:rPr>
        <w:t xml:space="preserve"> (</w:t>
      </w:r>
      <w:r w:rsidR="009262D1">
        <w:rPr>
          <w:rFonts w:ascii="Arial" w:hAnsi="Arial" w:cs="Arial"/>
          <w:bCs/>
          <w:color w:val="000000"/>
        </w:rPr>
        <w:t xml:space="preserve">seen in the Illustrative Accounts as </w:t>
      </w:r>
      <w:r w:rsidR="009262D1" w:rsidRPr="00E76B9B">
        <w:rPr>
          <w:rFonts w:ascii="Arial" w:hAnsi="Arial" w:cs="Arial"/>
          <w:bCs/>
          <w:color w:val="000000"/>
        </w:rPr>
        <w:t>part of financial investments</w:t>
      </w:r>
      <w:r w:rsidR="009262D1">
        <w:rPr>
          <w:rFonts w:ascii="Arial" w:hAnsi="Arial" w:cs="Arial"/>
          <w:bCs/>
          <w:color w:val="000000"/>
        </w:rPr>
        <w:t xml:space="preserve"> and analysed further in the Financial Investments note disclosure).</w:t>
      </w:r>
    </w:p>
    <w:p w14:paraId="12540EBD"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3DC6341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7CA1300"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QAD and identified using the appropriate asset ID code and item title. </w:t>
      </w:r>
    </w:p>
    <w:p w14:paraId="1E47D85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The syndicate loans should be reported in the QAD230. Please use template attached in appendix 5 and update yellow cells according to guidance in instructions/specification, then copy and paste relevant rows into QAD 230 csv.</w:t>
      </w:r>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77777777"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QAD236. </w:t>
      </w:r>
    </w:p>
    <w:p w14:paraId="7B51C15B" w14:textId="77777777" w:rsidR="007B158E" w:rsidRPr="005B34FF" w:rsidRDefault="007B158E" w:rsidP="007B158E"/>
    <w:p w14:paraId="0A73B95F" w14:textId="1A3B115B"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QAD230 and QAD236.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671592AB" w:rsidR="007B158E" w:rsidRPr="005B34FF" w:rsidRDefault="007B158E" w:rsidP="007B158E">
      <w:pPr>
        <w:spacing w:after="240"/>
      </w:pPr>
      <w:r w:rsidRPr="00D353C8">
        <w:rPr>
          <w:rFonts w:ascii="Arial" w:hAnsi="Arial" w:cs="Arial"/>
          <w:bCs/>
        </w:rPr>
        <w:t>Cash Sweep Investment Funds will continue to be reported as investment funds and look-through on QAD236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lastRenderedPageBreak/>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tc>
          <w:tcPr>
            <w:tcW w:w="2552" w:type="dxa"/>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77777777" w:rsidR="007B158E" w:rsidRDefault="007B158E" w:rsidP="007B158E">
      <w:pPr>
        <w:spacing w:after="120" w:line="280" w:lineRule="atLeast"/>
        <w:rPr>
          <w:rFonts w:ascii="Arial" w:hAnsi="Arial" w:cs="Arial"/>
          <w:b/>
        </w:rPr>
      </w:pPr>
    </w:p>
    <w:p w14:paraId="6226A42E" w14:textId="77777777" w:rsidR="007B158E" w:rsidRDefault="007B158E" w:rsidP="007B158E">
      <w:pPr>
        <w:spacing w:after="120" w:line="280" w:lineRule="atLeast"/>
        <w:rPr>
          <w:rFonts w:ascii="Arial" w:hAnsi="Arial" w:cs="Arial"/>
          <w:b/>
        </w:rPr>
      </w:pPr>
    </w:p>
    <w:p w14:paraId="7F756A26"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lastRenderedPageBreak/>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784CCBE4"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6D4CDB" w:rsidRPr="001013EA">
        <w:rPr>
          <w:rFonts w:ascii="Arial" w:hAnsi="Arial" w:cs="Arial"/>
        </w:rPr>
        <w:t>Q</w:t>
      </w:r>
      <w:r w:rsidR="00BE251A">
        <w:rPr>
          <w:rFonts w:ascii="Arial" w:hAnsi="Arial" w:cs="Arial"/>
        </w:rPr>
        <w:t>1</w:t>
      </w:r>
      <w:r w:rsidR="006D4CDB" w:rsidRPr="001013EA">
        <w:rPr>
          <w:rFonts w:ascii="Arial" w:hAnsi="Arial" w:cs="Arial"/>
        </w:rPr>
        <w:t xml:space="preserve"> 202</w:t>
      </w:r>
      <w:r w:rsidR="00BE251A">
        <w:rPr>
          <w:rFonts w:ascii="Arial" w:hAnsi="Arial" w:cs="Arial"/>
        </w:rPr>
        <w:t>5</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lastRenderedPageBreak/>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tcPr>
          <w:p w14:paraId="69AA3627" w14:textId="77777777" w:rsidR="007B158E" w:rsidRPr="006C0126" w:rsidRDefault="007B158E">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5C88DD6A" w14:textId="77777777" w:rsidR="007B158E" w:rsidRDefault="007B158E" w:rsidP="007B158E">
      <w:pPr>
        <w:spacing w:after="120" w:line="280" w:lineRule="atLeast"/>
        <w:rPr>
          <w:rFonts w:ascii="Arial" w:hAnsi="Arial" w:cs="Arial"/>
        </w:rPr>
      </w:pPr>
      <w:r w:rsidRPr="00E4274D">
        <w:rPr>
          <w:rFonts w:ascii="Arial" w:hAnsi="Arial" w:cs="Arial"/>
        </w:rPr>
        <w:lastRenderedPageBreak/>
        <w:t xml:space="preserve">An agency is a government-sponsored enterprise with an explicit full faith and credit guarantee from the Government. This means that there is an unconditional commitment by the government to back the interest and the principal of the debt issued by the agency. Therefore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lastRenderedPageBreak/>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4A20DC5E" w14:textId="77777777" w:rsidR="007B158E" w:rsidRDefault="007B158E" w:rsidP="007B158E">
      <w:pPr>
        <w:spacing w:after="120" w:line="280" w:lineRule="atLeast"/>
        <w:rPr>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77777777"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this field must be reported using the correct fund number. This information can be found on page</w:t>
      </w:r>
      <w:r>
        <w:rPr>
          <w:rFonts w:ascii="Arial" w:hAnsi="Arial" w:cs="Arial"/>
          <w:color w:val="000000"/>
        </w:rPr>
        <w:t>s</w:t>
      </w:r>
      <w:r w:rsidRPr="00D353C8">
        <w:rPr>
          <w:rFonts w:ascii="Arial" w:hAnsi="Arial" w:cs="Arial"/>
          <w:color w:val="000000"/>
        </w:rPr>
        <w:t> </w:t>
      </w:r>
      <w:r>
        <w:rPr>
          <w:rFonts w:ascii="Arial" w:hAnsi="Arial" w:cs="Arial"/>
          <w:color w:val="000000"/>
        </w:rPr>
        <w:t>51-52</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77777777"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77777777"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lastRenderedPageBreak/>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proofErr w:type="spellStart"/>
      <w:r>
        <w:rPr>
          <w:rFonts w:ascii="Arial" w:hAnsi="Arial" w:cs="Arial"/>
          <w:b/>
        </w:rPr>
        <w:t>c</w:t>
      </w:r>
      <w:r w:rsidRPr="00BB6618">
        <w:rPr>
          <w:rFonts w:ascii="Arial" w:hAnsi="Arial" w:cs="Arial"/>
          <w:b/>
        </w:rPr>
        <w:t>ode+currency</w:t>
      </w:r>
      <w:proofErr w:type="spellEnd"/>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proofErr w:type="spellStart"/>
      <w:r w:rsidRPr="00A128C1">
        <w:rPr>
          <w:rFonts w:ascii="Arial" w:hAnsi="Arial" w:cs="Arial"/>
          <w:b/>
          <w:lang w:val="en-US"/>
        </w:rPr>
        <w:t>L</w:t>
      </w:r>
      <w:r>
        <w:rPr>
          <w:rFonts w:ascii="Arial" w:hAnsi="Arial" w:cs="Arial"/>
          <w:b/>
          <w:lang w:val="en-US"/>
        </w:rPr>
        <w:t>loydsCF</w:t>
      </w:r>
      <w:proofErr w:type="spellEnd"/>
      <w:r>
        <w:rPr>
          <w:rFonts w:ascii="Arial" w:hAnsi="Arial" w:cs="Arial"/>
          <w:b/>
          <w:lang w:val="en-US"/>
        </w:rPr>
        <w:t xml:space="preserve">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lastRenderedPageBreak/>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77777777"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2B5EFB1A"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w:t>
      </w:r>
      <w:r w:rsidR="008E6FCA">
        <w:rPr>
          <w:rFonts w:ascii="Arial" w:hAnsi="Arial" w:cs="Arial"/>
        </w:rPr>
        <w:t>Rev 2</w:t>
      </w:r>
      <w:r w:rsidRPr="00610DA9">
        <w:rPr>
          <w:rFonts w:ascii="Arial" w:hAnsi="Arial" w:cs="Arial"/>
        </w:rPr>
        <w:t xml:space="preserve"> version of NACE code.</w:t>
      </w:r>
      <w:r w:rsidR="008E6FCA">
        <w:rPr>
          <w:rFonts w:ascii="Arial" w:hAnsi="Arial" w:cs="Arial"/>
        </w:rPr>
        <w:t xml:space="preserve"> NACE Rev 2.1 has not been yet been adopted by the reporting taxonomy.</w:t>
      </w:r>
      <w:r w:rsidRPr="00610DA9">
        <w:rPr>
          <w:rFonts w:ascii="Arial" w:hAnsi="Arial" w:cs="Arial"/>
        </w:rPr>
        <w:t xml:space="preserve"> </w:t>
      </w:r>
      <w:r>
        <w:rPr>
          <w:rFonts w:ascii="Arial" w:hAnsi="Arial" w:cs="Arial"/>
          <w:lang w:val="en-US"/>
        </w:rPr>
        <w:t>Please see Appendix 4 for NACE codes.</w:t>
      </w:r>
      <w:r w:rsidDel="00C908D2">
        <w:rPr>
          <w:rStyle w:val="CommentReference"/>
        </w:rPr>
        <w:t xml:space="preserve"> </w:t>
      </w:r>
      <w:r>
        <w:rPr>
          <w:rFonts w:ascii="Arial" w:hAnsi="Arial" w:cs="Arial"/>
        </w:rPr>
        <w:t>NACE codes should not be used where there is a “No” in the “usable” column. This is applies to a small number of NACE codes.</w:t>
      </w: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543FD4CB" w14:textId="77777777"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##75,  ##9#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w:t>
      </w:r>
      <w:r>
        <w:rPr>
          <w:rFonts w:ascii="Arial" w:hAnsi="Arial" w:cs="Arial"/>
          <w:lang w:val="en-US"/>
        </w:rPr>
        <w:lastRenderedPageBreak/>
        <w:t xml:space="preserve">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w:t>
      </w:r>
      <w:proofErr w:type="spellStart"/>
      <w:r w:rsidRPr="00247C18">
        <w:rPr>
          <w:rFonts w:ascii="Arial" w:hAnsi="Arial" w:cs="Arial"/>
          <w:lang w:val="en-US"/>
        </w:rPr>
        <w:t>Organisation</w:t>
      </w:r>
      <w:proofErr w:type="spellEnd"/>
      <w:r w:rsidRPr="00247C18">
        <w:rPr>
          <w:rFonts w:ascii="Arial" w:hAnsi="Arial" w:cs="Arial"/>
          <w:lang w:val="en-US"/>
        </w:rPr>
        <w:t xml:space="preserve"> for </w:t>
      </w:r>
      <w:proofErr w:type="spellStart"/>
      <w:r w:rsidRPr="00247C18">
        <w:rPr>
          <w:rFonts w:ascii="Arial" w:hAnsi="Arial" w:cs="Arial"/>
          <w:lang w:val="en-US"/>
        </w:rPr>
        <w:t>Standardisation</w:t>
      </w:r>
      <w:proofErr w:type="spellEnd"/>
      <w:r w:rsidRPr="00247C18">
        <w:rPr>
          <w:rFonts w:ascii="Arial" w:hAnsi="Arial" w:cs="Arial"/>
          <w:lang w:val="en-US"/>
        </w:rPr>
        <w:t xml:space="preserve">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876" w:name="_Hlk21510699"/>
      <w:r w:rsidRPr="009224C7">
        <w:rPr>
          <w:rFonts w:ascii="Arial" w:hAnsi="Arial" w:cs="Arial"/>
          <w:lang w:val="en-US"/>
        </w:rPr>
        <w:t xml:space="preserve">1 - Not a participation </w:t>
      </w:r>
    </w:p>
    <w:bookmarkEnd w:id="2876"/>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xml:space="preserve"># and </w:t>
      </w:r>
      <w:r w:rsidRPr="0022177B">
        <w:rPr>
          <w:rFonts w:ascii="Arial" w:hAnsi="Arial" w:cs="Arial"/>
          <w:lang w:val="en-US"/>
        </w:rPr>
        <w:lastRenderedPageBreak/>
        <w:t>##6#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proofErr w:type="spellStart"/>
      <w:r w:rsidRPr="00964F9F">
        <w:rPr>
          <w:rFonts w:ascii="Arial" w:hAnsi="Arial" w:cs="Arial"/>
          <w:iCs/>
        </w:rPr>
        <w:t>yndicates</w:t>
      </w:r>
      <w:proofErr w:type="spellEnd"/>
      <w:r w:rsidRPr="00964F9F">
        <w:rPr>
          <w:rFonts w:ascii="Arial" w:hAnsi="Arial" w:cs="Arial"/>
          <w:iCs/>
        </w:rPr>
        <w:t xml:space="preserve">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proofErr w:type="spellStart"/>
      <w:r w:rsidRPr="00A6029D">
        <w:rPr>
          <w:rFonts w:ascii="Arial" w:hAnsi="Arial" w:cs="Arial"/>
          <w:iCs/>
        </w:rPr>
        <w:t>yndicates</w:t>
      </w:r>
      <w:proofErr w:type="spellEnd"/>
      <w:r w:rsidRPr="00A6029D">
        <w:rPr>
          <w:rFonts w:ascii="Arial" w:hAnsi="Arial" w:cs="Arial"/>
          <w:iCs/>
        </w:rPr>
        <w:t xml:space="preserve">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r>
        <w:rPr>
          <w:rFonts w:ascii="Arial" w:hAnsi="Arial" w:cs="Arial"/>
          <w:b/>
          <w:lang w:val="en-US"/>
        </w:rPr>
        <w:t>P</w:t>
      </w:r>
      <w:r w:rsidRPr="00C720B5">
        <w:rPr>
          <w:rFonts w:ascii="Arial" w:hAnsi="Arial" w:cs="Arial"/>
          <w:b/>
          <w:lang w:val="en-US"/>
        </w:rPr>
        <w:t>ar amount</w:t>
      </w:r>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“Par amount”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lastRenderedPageBreak/>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“Par amount”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r>
        <w:rPr>
          <w:rFonts w:ascii="Arial" w:hAnsi="Arial" w:cs="Arial"/>
          <w:lang w:val="en-US"/>
        </w:rPr>
        <w:t>Par amount</w:t>
      </w:r>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xml:space="preserve">” (Par amount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0C5D2196"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(Non-FIS) should tie back to the amounts reported </w:t>
      </w:r>
      <w:r w:rsidR="009262D1">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w:t>
      </w:r>
    </w:p>
    <w:p w14:paraId="62628356" w14:textId="7462B8FC"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w:t>
      </w:r>
      <w:r>
        <w:rPr>
          <w:rFonts w:ascii="Arial" w:hAnsi="Arial" w:cs="Arial"/>
          <w:lang w:val="en-US"/>
        </w:rPr>
        <w:lastRenderedPageBreak/>
        <w:t xml:space="preserve">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(FIS) should tie back to the amounts reported </w:t>
      </w:r>
      <w:r w:rsidR="009262D1">
        <w:rPr>
          <w:rFonts w:ascii="Arial" w:hAnsi="Arial" w:cs="Arial"/>
          <w:lang w:val="en-US"/>
        </w:rPr>
        <w:t xml:space="preserve">under </w:t>
      </w:r>
      <w:r w:rsidR="00AE4B1F">
        <w:rPr>
          <w:rFonts w:ascii="Arial" w:hAnsi="Arial" w:cs="Arial"/>
          <w:lang w:val="en-US"/>
        </w:rPr>
        <w:t>UK GAAP</w:t>
      </w:r>
      <w:r>
        <w:rPr>
          <w:rFonts w:ascii="Arial" w:hAnsi="Arial" w:cs="Arial"/>
          <w:lang w:val="en-US"/>
        </w:rPr>
        <w:t>.</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7777777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D47082">
        <w:rPr>
          <w:rFonts w:ascii="Arial" w:hAnsi="Arial" w:cs="Arial"/>
        </w:rPr>
        <w:t xml:space="preserve">page </w:t>
      </w:r>
      <w:r>
        <w:rPr>
          <w:rFonts w:ascii="Arial" w:hAnsi="Arial" w:cs="Arial"/>
        </w:rPr>
        <w:t>53</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 xml:space="preserve">ID </w:t>
      </w:r>
      <w:proofErr w:type="spellStart"/>
      <w:r w:rsidRPr="00D57ED5">
        <w:rPr>
          <w:rFonts w:ascii="Arial" w:hAnsi="Arial" w:cs="Arial"/>
          <w:b/>
        </w:rPr>
        <w:t>code+currency</w:t>
      </w:r>
      <w:proofErr w:type="spellEnd"/>
      <w:r w:rsidRPr="00D57ED5">
        <w:rPr>
          <w:rFonts w:ascii="Arial" w:hAnsi="Arial" w:cs="Arial"/>
          <w:b/>
        </w:rPr>
        <w:t xml:space="preserve">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421D39AE" w14:textId="77777777"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One of the options in the following closed list shall be used:</w:t>
      </w:r>
    </w:p>
    <w:p w14:paraId="301C5B7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1 – Not an infrastructure investment (NII)</w:t>
      </w:r>
    </w:p>
    <w:p w14:paraId="4AEE79B1" w14:textId="77777777" w:rsidR="007B158E" w:rsidRPr="00F94045" w:rsidRDefault="007B158E" w:rsidP="007B158E">
      <w:pPr>
        <w:pStyle w:val="NoSpacing"/>
        <w:rPr>
          <w:rFonts w:asciiTheme="minorBidi" w:hAnsiTheme="minorBidi" w:cstheme="minorBidi"/>
          <w:sz w:val="20"/>
          <w:szCs w:val="20"/>
        </w:rPr>
      </w:pPr>
    </w:p>
    <w:p w14:paraId="39BF4661" w14:textId="7A1FC5E7"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2 – Infrastructure non-qualifying: Government Guarantee (Government, Central bank, Regional government or local authority)</w:t>
      </w:r>
    </w:p>
    <w:p w14:paraId="79FBD139" w14:textId="6B45790F"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3 – Infrastructure non-qualifying: Government Supported including Public Finance Initiative (Government, Central bank, Regional government or local authority)</w:t>
      </w:r>
    </w:p>
    <w:p w14:paraId="4C967DAE" w14:textId="549BC2CB"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4 – Infrastructure non-qualifying: Supranational Guarantee/Supported (ECB, Multilateral development bank,</w:t>
      </w:r>
    </w:p>
    <w:p w14:paraId="44604D5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International organisation)</w:t>
      </w:r>
    </w:p>
    <w:p w14:paraId="3D849166" w14:textId="77777777" w:rsidR="007B158E" w:rsidRPr="00F94045" w:rsidRDefault="007B158E" w:rsidP="007B158E">
      <w:pPr>
        <w:pStyle w:val="NoSpacing"/>
        <w:rPr>
          <w:rFonts w:asciiTheme="minorBidi" w:hAnsiTheme="minorBidi" w:cstheme="minorBidi"/>
          <w:sz w:val="20"/>
          <w:szCs w:val="20"/>
        </w:rPr>
      </w:pPr>
    </w:p>
    <w:p w14:paraId="21CABAC4" w14:textId="0B10B855"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9 - Infrastructure non-qualifying:  Other non-qualifying infrastructure loans or investments, not classified under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lastRenderedPageBreak/>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877"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877"/>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878"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878"/>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lastRenderedPageBreak/>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2879"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879"/>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77777777" w:rsidR="007B158E" w:rsidRPr="00610DA9" w:rsidRDefault="007B158E" w:rsidP="007B158E">
      <w:pPr>
        <w:pStyle w:val="LloydsH3"/>
        <w:numPr>
          <w:ilvl w:val="1"/>
          <w:numId w:val="20"/>
        </w:numPr>
        <w:spacing w:after="120" w:line="280" w:lineRule="atLeast"/>
        <w:rPr>
          <w:rFonts w:cs="Arial"/>
          <w:color w:val="auto"/>
          <w:sz w:val="20"/>
        </w:rPr>
      </w:pPr>
      <w:bookmarkStart w:id="2880" w:name="_Toc343003104"/>
      <w:bookmarkStart w:id="2881" w:name="_Toc352675434"/>
      <w:r w:rsidRPr="00610DA9">
        <w:rPr>
          <w:rFonts w:cs="Arial"/>
          <w:color w:val="auto"/>
          <w:sz w:val="20"/>
        </w:rPr>
        <w:t>QAD233: Derivatives Data – Open Positions</w:t>
      </w:r>
      <w:bookmarkEnd w:id="2880"/>
      <w:bookmarkEnd w:id="2881"/>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Pr>
          <w:rFonts w:ascii="Arial" w:hAnsi="Arial" w:cs="Arial"/>
        </w:rPr>
        <w:t>QSR</w:t>
      </w:r>
      <w:r w:rsidRPr="00247C18">
        <w:rPr>
          <w:rFonts w:ascii="Arial" w:hAnsi="Arial" w:cs="Arial"/>
        </w:rPr>
        <w:t xml:space="preserve">002, lines </w:t>
      </w:r>
      <w:r>
        <w:rPr>
          <w:rFonts w:ascii="Arial" w:hAnsi="Arial" w:cs="Arial"/>
        </w:rPr>
        <w:t>C</w:t>
      </w:r>
      <w:r w:rsidRPr="00247C18">
        <w:rPr>
          <w:rFonts w:ascii="Arial" w:hAnsi="Arial" w:cs="Arial"/>
        </w:rPr>
        <w:t>2</w:t>
      </w:r>
      <w:r>
        <w:rPr>
          <w:rFonts w:ascii="Arial" w:hAnsi="Arial" w:cs="Arial"/>
        </w:rPr>
        <w:t>7</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Pr>
          <w:rFonts w:ascii="Arial" w:hAnsi="Arial" w:cs="Arial"/>
        </w:rPr>
        <w:t>C</w:t>
      </w:r>
      <w:r w:rsidRPr="00247C18">
        <w:rPr>
          <w:rFonts w:ascii="Arial" w:hAnsi="Arial" w:cs="Arial"/>
        </w:rPr>
        <w:t>7</w:t>
      </w:r>
      <w:r>
        <w:rPr>
          <w:rFonts w:ascii="Arial" w:hAnsi="Arial" w:cs="Arial"/>
        </w:rPr>
        <w:t>9 (for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5FA102FF" w:rsidR="007B158E" w:rsidRPr="000206A7" w:rsidRDefault="007B158E" w:rsidP="007B158E">
      <w:pPr>
        <w:spacing w:after="120" w:line="280" w:lineRule="atLeast"/>
        <w:rPr>
          <w:rFonts w:ascii="Arial" w:hAnsi="Arial" w:cs="Arial"/>
          <w:b/>
        </w:rPr>
      </w:pPr>
      <w:r>
        <w:rPr>
          <w:rFonts w:ascii="Arial" w:hAnsi="Arial" w:cs="Arial"/>
          <w:b/>
        </w:rPr>
        <w:lastRenderedPageBreak/>
        <w:t xml:space="preserve">Portfolio (C0060): </w:t>
      </w:r>
      <w:r w:rsidRPr="007718C4">
        <w:rPr>
          <w:rFonts w:ascii="Arial" w:hAnsi="Arial" w:cs="Arial"/>
        </w:rPr>
        <w:t>Distinction between life, non-life, shareholder's funds, general (no split) and ring fenced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 xml:space="preserve">ISIN ID </w:t>
      </w:r>
      <w:proofErr w:type="spellStart"/>
      <w:r w:rsidRPr="00957273">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2882"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2882"/>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lastRenderedPageBreak/>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(C0380)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lastRenderedPageBreak/>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883"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883"/>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884"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884"/>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lastRenderedPageBreak/>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For bond and interest rate futures the trigger shall be the bond price as a ratio of the par amount.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lastRenderedPageBreak/>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885" w:name="_Hlk23176368"/>
      <w:r>
        <w:rPr>
          <w:rFonts w:ascii="Arial" w:hAnsi="Arial" w:cs="Arial"/>
          <w:sz w:val="20"/>
          <w:szCs w:val="20"/>
          <w:lang w:val="en-US"/>
        </w:rPr>
        <w:t>Where CIC is XL## or XT##, solvency II value cannot be nil.</w:t>
      </w:r>
    </w:p>
    <w:bookmarkEnd w:id="2885"/>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lastRenderedPageBreak/>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32ACAC90" w14:textId="77777777" w:rsidR="00843D53" w:rsidRDefault="00843D53"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7CDACE74"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9A7460"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rFonts w:ascii="Arial" w:hAnsi="Arial" w:cs="Arial"/>
          <w:b/>
          <w:bCs/>
          <w:sz w:val="20"/>
          <w:szCs w:val="20"/>
        </w:rPr>
      </w:pPr>
    </w:p>
    <w:p w14:paraId="31F99E3C"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2886" w:name="_Toc343003107"/>
      <w:bookmarkStart w:id="2887" w:name="_Toc352675437"/>
    </w:p>
    <w:p w14:paraId="39B4960E" w14:textId="77777777" w:rsidR="007B158E" w:rsidRPr="001F29EB" w:rsidRDefault="007B158E" w:rsidP="007B158E">
      <w:pPr>
        <w:pStyle w:val="LloydsH3"/>
        <w:numPr>
          <w:ilvl w:val="1"/>
          <w:numId w:val="20"/>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886"/>
      <w:bookmarkEnd w:id="2887"/>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77777777"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balance sheet (QSR002) and QAD230 (CIC ##4#) should be reported on this form. The syndicate should ensure that reconciliation between this form, QAD230 and the balance sheet is carried out at a fund level as well as in aggregate. The level</w:t>
      </w:r>
      <w:r w:rsidRPr="00A6515A">
        <w:rPr>
          <w:rFonts w:ascii="Arial" w:hAnsi="Arial" w:cs="Arial"/>
          <w:lang w:val="en-US" w:eastAsia="pt-PT"/>
        </w:rPr>
        <w:t xml:space="preserve"> of look-through on investment </w:t>
      </w:r>
      <w:r w:rsidRPr="00A6515A">
        <w:rPr>
          <w:rFonts w:ascii="Arial" w:hAnsi="Arial" w:cs="Arial"/>
          <w:lang w:val="en-US" w:eastAsia="pt-PT"/>
        </w:rPr>
        <w:lastRenderedPageBreak/>
        <w:t>funds should ensure that all material risks are captured. Solvency II requires this form to be reported at asset category level. However since this form is required for LIM purposes, additional fields (similar to those required in QAD230) have been added and the form will be required to be completed at security level. Look-through should be performed based on the following three options:</w:t>
      </w:r>
    </w:p>
    <w:p w14:paraId="3B4E7E83"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w:t>
      </w:r>
      <w:proofErr w:type="spellStart"/>
      <w:r w:rsidRPr="00030D88">
        <w:rPr>
          <w:rFonts w:ascii="Arial" w:hAnsi="Arial" w:cs="Arial"/>
          <w:lang w:val="en-US"/>
        </w:rPr>
        <w:t>recognised</w:t>
      </w:r>
      <w:proofErr w:type="spellEnd"/>
      <w:r w:rsidRPr="00030D88">
        <w:rPr>
          <w:rFonts w:ascii="Arial" w:hAnsi="Arial" w:cs="Arial"/>
          <w:lang w:val="en-US"/>
        </w:rPr>
        <w:t xml:space="preserve">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w:t>
      </w:r>
      <w:proofErr w:type="spellStart"/>
      <w:r w:rsidRPr="007D2CB2">
        <w:rPr>
          <w:rFonts w:ascii="Arial" w:hAnsi="Arial" w:cs="Arial"/>
          <w:lang w:val="en-US"/>
        </w:rPr>
        <w:t>recognised</w:t>
      </w:r>
      <w:proofErr w:type="spellEnd"/>
      <w:r w:rsidRPr="007D2CB2">
        <w:rPr>
          <w:rFonts w:ascii="Arial" w:hAnsi="Arial" w:cs="Arial"/>
          <w:lang w:val="en-US"/>
        </w:rPr>
        <w:t xml:space="preserve">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 xml:space="preserve">ISIN ID </w:t>
      </w:r>
      <w:proofErr w:type="spellStart"/>
      <w:r w:rsidRPr="00F6319E">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lastRenderedPageBreak/>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 xml:space="preserve">syndicate. This item is not applicable for CIC 95 – Plant and equipment (for own use) </w:t>
      </w:r>
      <w:r w:rsidRPr="00D32860">
        <w:rPr>
          <w:rFonts w:ascii="Arial" w:hAnsi="Arial" w:cs="Arial"/>
        </w:rPr>
        <w:lastRenderedPageBreak/>
        <w:t>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 xml:space="preserve">6 - </w:t>
      </w:r>
      <w:proofErr w:type="spellStart"/>
      <w:r w:rsidRPr="00610DA9">
        <w:rPr>
          <w:rFonts w:ascii="Arial" w:hAnsi="Arial" w:cs="Arial"/>
          <w:color w:val="000000"/>
          <w:lang w:val="en-US" w:eastAsia="pt-PT"/>
        </w:rPr>
        <w:t>Collateralised</w:t>
      </w:r>
      <w:proofErr w:type="spellEnd"/>
      <w:r w:rsidRPr="00610DA9">
        <w:rPr>
          <w:rFonts w:ascii="Arial" w:hAnsi="Arial" w:cs="Arial"/>
          <w:color w:val="000000"/>
          <w:lang w:val="en-US" w:eastAsia="pt-PT"/>
        </w:rPr>
        <w:t xml:space="preserve">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lastRenderedPageBreak/>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2AD34E95"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Solvency II amount (Non-FIS) should tie back to the amounts reported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reporting </w:t>
      </w:r>
      <w:r>
        <w:rPr>
          <w:rFonts w:ascii="Arial" w:hAnsi="Arial" w:cs="Arial"/>
          <w:lang w:val="en-US"/>
        </w:rPr>
        <w:t xml:space="preserve">(plus respective accrued interest reported </w:t>
      </w:r>
      <w:r w:rsidR="00401CE7">
        <w:rPr>
          <w:rFonts w:ascii="Arial" w:hAnsi="Arial" w:cs="Arial"/>
          <w:lang w:val="en-US"/>
        </w:rPr>
        <w:t>in the Illustrative Accounts under Accrued interest and rent</w:t>
      </w:r>
      <w:r>
        <w:rPr>
          <w:rFonts w:ascii="Arial" w:hAnsi="Arial" w:cs="Arial"/>
          <w:lang w:val="en-US"/>
        </w:rPr>
        <w:t>)</w:t>
      </w:r>
      <w:r w:rsidR="009262D1">
        <w:rPr>
          <w:rFonts w:ascii="Arial" w:hAnsi="Arial" w:cs="Arial"/>
          <w:lang w:val="en-US"/>
        </w:rPr>
        <w:t>.</w:t>
      </w:r>
    </w:p>
    <w:p w14:paraId="17854AE1" w14:textId="077A6BB2"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xml:space="preserve">, the following calculation is to be used to determine the Total Solvency II amount (Non-FIS) value: Total Solvency II amount (Non-FIS) excluding liabilities (underlying asset category code “L”), minus liabilities (underlying asset category code “L”) </w:t>
      </w:r>
    </w:p>
    <w:p w14:paraId="6F965CB9" w14:textId="3A1BFDCE"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w:t>
      </w:r>
      <w:r w:rsidR="00401CE7">
        <w:rPr>
          <w:rFonts w:ascii="Arial" w:hAnsi="Arial" w:cs="Arial"/>
          <w:lang w:val="en-US"/>
        </w:rPr>
        <w:t xml:space="preserve">under </w:t>
      </w:r>
      <w:r w:rsidR="00AE4B1F">
        <w:rPr>
          <w:rFonts w:ascii="Arial" w:hAnsi="Arial" w:cs="Arial"/>
          <w:lang w:val="en-US"/>
        </w:rPr>
        <w:t>UK GAAP</w:t>
      </w:r>
      <w:r>
        <w:rPr>
          <w:rFonts w:ascii="Arial" w:hAnsi="Arial" w:cs="Arial"/>
          <w:lang w:val="en-US"/>
        </w:rPr>
        <w:t xml:space="preserve"> is the same as that required for Solvency II, the total Solvency II amount (FIS) should tie back to the amounts reported </w:t>
      </w:r>
      <w:r w:rsidR="00401CE7">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 xml:space="preserve"> </w:t>
      </w:r>
      <w:r>
        <w:rPr>
          <w:rFonts w:ascii="Arial" w:hAnsi="Arial" w:cs="Arial"/>
          <w:lang w:val="en-US"/>
        </w:rPr>
        <w:t>(</w:t>
      </w:r>
      <w:r w:rsidR="00401CE7">
        <w:rPr>
          <w:rFonts w:ascii="Arial" w:hAnsi="Arial" w:cs="Arial"/>
          <w:lang w:val="en-US"/>
        </w:rPr>
        <w:t>plus respective accrued interest reported in the Illustrative Accounts under Accrued interest and rent</w:t>
      </w:r>
      <w:r>
        <w:rPr>
          <w:rFonts w:ascii="Arial" w:hAnsi="Arial" w:cs="Arial"/>
          <w:lang w:val="en-US"/>
        </w:rPr>
        <w:t>)</w:t>
      </w:r>
      <w:r w:rsidR="00401CE7">
        <w:rPr>
          <w:rFonts w:ascii="Arial" w:hAnsi="Arial" w:cs="Arial"/>
          <w:lang w:val="en-US"/>
        </w:rPr>
        <w:t>.</w:t>
      </w:r>
    </w:p>
    <w:p w14:paraId="76700DE1" w14:textId="5EE4899F"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lastRenderedPageBreak/>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77777777"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 xml:space="preserve">“Total Solvency II amount” for each investment fund code reported on QAD236 should agree to the “Total Solvency II amount” for the corresponding ID code reported on QAD230. Hence the sum of “Total Solvency II amount” excluding liabilities (underlying asset category code “L”), minus the sum of “Total Solvency II amount for” liabilities (underlying asset category code “L”), for all entries on QAD236 should equal the sum of “Total Solvency II amount” for all investment fund entries on QAD230 (i.e. where the third character of the CIC on QAD230 is “4”).  </w:t>
      </w:r>
    </w:p>
    <w:p w14:paraId="7ADAA8A5" w14:textId="7777777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 xml:space="preserve">on page </w:t>
      </w:r>
      <w:r>
        <w:rPr>
          <w:rFonts w:ascii="Arial" w:hAnsi="Arial" w:cs="Arial"/>
        </w:rPr>
        <w:t>50</w:t>
      </w:r>
      <w:r w:rsidRPr="00646AB0">
        <w:rPr>
          <w:rFonts w:ascii="Arial" w:hAnsi="Arial" w:cs="Arial"/>
        </w:rPr>
        <w:t>. If none</w:t>
      </w:r>
      <w:r>
        <w:rPr>
          <w:rFonts w:ascii="Arial" w:hAnsi="Arial" w:cs="Arial"/>
        </w:rPr>
        <w:t xml:space="preserve"> of the specific options is applicable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77777777"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this field must be reported using the correct fund number. This information can be found on pages </w:t>
      </w:r>
      <w:r>
        <w:rPr>
          <w:rFonts w:ascii="Arial" w:hAnsi="Arial" w:cs="Arial"/>
          <w:color w:val="000000"/>
        </w:rPr>
        <w:t>51-52</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58D7FC2A" w14:textId="2B1EAFBC" w:rsidR="007B158E" w:rsidRPr="006C0126" w:rsidRDefault="007B158E">
            <w:pPr>
              <w:spacing w:after="120" w:line="280" w:lineRule="atLeast"/>
              <w:rPr>
                <w:rFonts w:ascii="Arial" w:hAnsi="Arial" w:cs="Arial"/>
              </w:rPr>
            </w:pPr>
            <w:r w:rsidRPr="00A434BB">
              <w:rPr>
                <w:rFonts w:ascii="Arial" w:hAnsi="Arial" w:cs="Arial"/>
              </w:rPr>
              <w:lastRenderedPageBreak/>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tcPr>
          <w:p w14:paraId="2B68AE07"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295A4DFE"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D24BF1"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7777777" w:rsidR="00063A95" w:rsidRPr="00D353C8" w:rsidRDefault="00063A95" w:rsidP="00063A95">
      <w:pPr>
        <w:autoSpaceDE w:val="0"/>
        <w:autoSpaceDN w:val="0"/>
        <w:adjustRightInd w:val="0"/>
        <w:spacing w:line="1134" w:lineRule="exact"/>
        <w:ind w:left="118" w:right="-20"/>
        <w:rPr>
          <w:rFonts w:ascii="Arial" w:hAnsi="Arial" w:cs="Arial"/>
          <w:sz w:val="22"/>
          <w:szCs w:val="22"/>
          <w:lang w:val="en-US"/>
        </w:rPr>
      </w:pPr>
    </w:p>
    <w:p w14:paraId="44ABE13A" w14:textId="74B57B6B" w:rsidR="004A1C88" w:rsidRDefault="004A1C88" w:rsidP="00247C18">
      <w:pPr>
        <w:spacing w:after="120" w:line="280" w:lineRule="atLeast"/>
        <w:rPr>
          <w:rFonts w:ascii="Arial" w:hAnsi="Arial" w:cs="Arial"/>
        </w:rPr>
      </w:pPr>
    </w:p>
    <w:p w14:paraId="10EC376E" w14:textId="4AAA2F2B" w:rsidR="00D174D0" w:rsidRPr="00957273" w:rsidRDefault="00D174D0" w:rsidP="00D174D0">
      <w:pPr>
        <w:snapToGrid w:val="0"/>
        <w:spacing w:after="120" w:line="280" w:lineRule="atLeast"/>
        <w:rPr>
          <w:rFonts w:ascii="Arial" w:hAnsi="Arial" w:cs="Arial"/>
          <w:b/>
          <w:lang w:val="fr-FR"/>
        </w:rPr>
      </w:pPr>
      <w:bookmarkStart w:id="2888" w:name="_Toc343263708"/>
      <w:bookmarkStart w:id="2889" w:name="_Toc343263832"/>
      <w:bookmarkStart w:id="2890" w:name="_Toc343263955"/>
      <w:bookmarkStart w:id="2891" w:name="_Toc343264092"/>
      <w:bookmarkStart w:id="2892" w:name="_Toc343264383"/>
      <w:bookmarkStart w:id="2893" w:name="_Toc343266137"/>
      <w:bookmarkStart w:id="2894" w:name="_Toc343267275"/>
      <w:bookmarkStart w:id="2895" w:name="_Toc343263710"/>
      <w:bookmarkStart w:id="2896" w:name="_Toc343263834"/>
      <w:bookmarkStart w:id="2897" w:name="_Toc343263957"/>
      <w:bookmarkStart w:id="2898" w:name="_Toc343264094"/>
      <w:bookmarkStart w:id="2899" w:name="_Toc343264385"/>
      <w:bookmarkStart w:id="2900" w:name="_Toc343266139"/>
      <w:bookmarkStart w:id="2901" w:name="_Toc343267277"/>
      <w:bookmarkStart w:id="2902" w:name="_Toc346893539"/>
      <w:bookmarkStart w:id="2903" w:name="_Toc346896668"/>
      <w:bookmarkStart w:id="2904" w:name="_Toc347127835"/>
      <w:bookmarkStart w:id="2905" w:name="_Toc347131528"/>
      <w:bookmarkStart w:id="2906" w:name="_Toc347133622"/>
      <w:bookmarkStart w:id="2907" w:name="_Toc347135391"/>
      <w:bookmarkStart w:id="2908" w:name="_Toc347138689"/>
      <w:bookmarkStart w:id="2909" w:name="_Toc347152531"/>
      <w:bookmarkStart w:id="2910" w:name="_Toc347152664"/>
      <w:bookmarkStart w:id="2911" w:name="_Toc347153019"/>
      <w:bookmarkStart w:id="2912" w:name="_Toc347214464"/>
      <w:bookmarkStart w:id="2913" w:name="_Toc347303149"/>
      <w:bookmarkStart w:id="2914" w:name="_Toc347387167"/>
      <w:bookmarkStart w:id="2915" w:name="_Toc347477408"/>
      <w:bookmarkStart w:id="2916" w:name="_Toc347493004"/>
      <w:bookmarkStart w:id="2917" w:name="_Toc347494974"/>
      <w:bookmarkStart w:id="2918" w:name="_Toc347501193"/>
      <w:bookmarkStart w:id="2919" w:name="_Toc343263712"/>
      <w:bookmarkStart w:id="2920" w:name="_Toc343263836"/>
      <w:bookmarkStart w:id="2921" w:name="_Toc343263959"/>
      <w:bookmarkStart w:id="2922" w:name="_Toc343264096"/>
      <w:bookmarkStart w:id="2923" w:name="_Toc343264387"/>
      <w:bookmarkStart w:id="2924" w:name="_Toc343266141"/>
      <w:bookmarkStart w:id="2925" w:name="_Toc343267279"/>
      <w:bookmarkStart w:id="2926" w:name="_Toc343263714"/>
      <w:bookmarkStart w:id="2927" w:name="_Toc343263838"/>
      <w:bookmarkStart w:id="2928" w:name="_Toc343263961"/>
      <w:bookmarkStart w:id="2929" w:name="_Toc343264098"/>
      <w:bookmarkStart w:id="2930" w:name="_Toc343264389"/>
      <w:bookmarkStart w:id="2931" w:name="_Toc343266143"/>
      <w:bookmarkStart w:id="2932" w:name="_Toc343267281"/>
      <w:bookmarkStart w:id="2933" w:name="_Toc347152535"/>
      <w:bookmarkStart w:id="2934" w:name="_Toc347152668"/>
      <w:bookmarkStart w:id="2935" w:name="_Toc347153023"/>
      <w:bookmarkStart w:id="2936" w:name="_Toc347214468"/>
      <w:bookmarkStart w:id="2937" w:name="_Toc347303153"/>
      <w:bookmarkStart w:id="2938" w:name="_Toc347387171"/>
      <w:bookmarkStart w:id="2939" w:name="_Toc347477412"/>
      <w:bookmarkStart w:id="2940" w:name="_Toc347493008"/>
      <w:bookmarkStart w:id="2941" w:name="_Toc347494978"/>
      <w:bookmarkStart w:id="2942" w:name="_Toc347501197"/>
      <w:bookmarkStart w:id="2943" w:name="_Toc343263718"/>
      <w:bookmarkStart w:id="2944" w:name="_Toc343263841"/>
      <w:bookmarkStart w:id="2945" w:name="_Toc343263964"/>
      <w:bookmarkStart w:id="2946" w:name="_Toc343264101"/>
      <w:bookmarkStart w:id="2947" w:name="_Toc343264392"/>
      <w:bookmarkStart w:id="2948" w:name="_Toc343266146"/>
      <w:bookmarkStart w:id="2949" w:name="_Toc343267284"/>
      <w:bookmarkStart w:id="2950" w:name="_Toc343263720"/>
      <w:bookmarkStart w:id="2951" w:name="_Toc343263843"/>
      <w:bookmarkStart w:id="2952" w:name="_Toc343263966"/>
      <w:bookmarkStart w:id="2953" w:name="_Toc343264103"/>
      <w:bookmarkStart w:id="2954" w:name="_Toc343264394"/>
      <w:bookmarkStart w:id="2955" w:name="_Toc343266148"/>
      <w:bookmarkStart w:id="2956" w:name="_Toc343267286"/>
      <w:bookmarkStart w:id="2957" w:name="_Toc352149708"/>
      <w:bookmarkStart w:id="2958" w:name="_Toc352149711"/>
      <w:bookmarkStart w:id="2959" w:name="_Toc346886879"/>
      <w:bookmarkStart w:id="2960" w:name="_Toc346893545"/>
      <w:bookmarkStart w:id="2961" w:name="_Toc346896674"/>
      <w:bookmarkStart w:id="2962" w:name="_Toc347127841"/>
      <w:bookmarkStart w:id="2963" w:name="_Toc347131534"/>
      <w:bookmarkStart w:id="2964" w:name="_Toc347133628"/>
      <w:bookmarkStart w:id="2965" w:name="_Toc347135397"/>
      <w:bookmarkStart w:id="2966" w:name="_Toc347138695"/>
      <w:bookmarkStart w:id="2967" w:name="_Toc347152538"/>
      <w:bookmarkStart w:id="2968" w:name="_Toc347152671"/>
      <w:bookmarkStart w:id="2969" w:name="_Toc347153026"/>
      <w:bookmarkStart w:id="2970" w:name="_Toc347214471"/>
      <w:bookmarkStart w:id="2971" w:name="_Toc347303156"/>
      <w:bookmarkStart w:id="2972" w:name="_Toc347387174"/>
      <w:bookmarkStart w:id="2973" w:name="_Toc347477415"/>
      <w:bookmarkStart w:id="2974" w:name="_Toc347493011"/>
      <w:bookmarkStart w:id="2975" w:name="_Toc347494981"/>
      <w:bookmarkStart w:id="2976" w:name="_Toc347501200"/>
      <w:bookmarkStart w:id="2977" w:name="_Toc343263722"/>
      <w:bookmarkStart w:id="2978" w:name="_Toc343263845"/>
      <w:bookmarkStart w:id="2979" w:name="_Toc343263968"/>
      <w:bookmarkStart w:id="2980" w:name="_Toc343264105"/>
      <w:bookmarkStart w:id="2981" w:name="_Toc343264396"/>
      <w:bookmarkStart w:id="2982" w:name="_Toc343266150"/>
      <w:bookmarkStart w:id="2983" w:name="_Toc343267288"/>
      <w:bookmarkStart w:id="2984" w:name="_Toc346893547"/>
      <w:bookmarkStart w:id="2985" w:name="_Toc346896676"/>
      <w:bookmarkStart w:id="2986" w:name="_Toc347127843"/>
      <w:bookmarkStart w:id="2987" w:name="_Toc343263725"/>
      <w:bookmarkStart w:id="2988" w:name="_Toc343263848"/>
      <w:bookmarkStart w:id="2989" w:name="_Toc343263971"/>
      <w:bookmarkStart w:id="2990" w:name="_Toc343264108"/>
      <w:bookmarkStart w:id="2991" w:name="_Toc343264399"/>
      <w:bookmarkStart w:id="2992" w:name="_Toc343266153"/>
      <w:bookmarkStart w:id="2993" w:name="_Toc343267291"/>
      <w:bookmarkStart w:id="2994" w:name="_Toc343263727"/>
      <w:bookmarkStart w:id="2995" w:name="_Toc343263850"/>
      <w:bookmarkStart w:id="2996" w:name="_Toc343263973"/>
      <w:bookmarkStart w:id="2997" w:name="_Toc343264110"/>
      <w:bookmarkStart w:id="2998" w:name="_Toc343264401"/>
      <w:bookmarkStart w:id="2999" w:name="_Toc343266155"/>
      <w:bookmarkStart w:id="3000" w:name="_Toc343267293"/>
      <w:bookmarkStart w:id="3001" w:name="_Toc348103272"/>
      <w:bookmarkStart w:id="3002" w:name="_Toc348103388"/>
      <w:bookmarkStart w:id="3003" w:name="_Toc347153043"/>
      <w:bookmarkStart w:id="3004" w:name="_Toc347214488"/>
      <w:bookmarkStart w:id="3005" w:name="_Toc347303173"/>
      <w:bookmarkStart w:id="3006" w:name="_Toc347387191"/>
      <w:bookmarkStart w:id="3007" w:name="_Toc347477432"/>
      <w:bookmarkStart w:id="3008" w:name="_Toc347493028"/>
      <w:bookmarkStart w:id="3009" w:name="_Toc347494998"/>
      <w:bookmarkStart w:id="3010" w:name="_Toc347501217"/>
      <w:bookmarkStart w:id="3011" w:name="_Toc343003101"/>
      <w:bookmarkStart w:id="3012" w:name="_Toc343263978"/>
      <w:bookmarkStart w:id="3013" w:name="_Toc343264115"/>
      <w:bookmarkStart w:id="3014" w:name="_Toc343264406"/>
      <w:bookmarkStart w:id="3015" w:name="_Toc343266160"/>
      <w:bookmarkStart w:id="3016" w:name="_Toc343267298"/>
      <w:bookmarkStart w:id="3017" w:name="_Toc351994573"/>
      <w:bookmarkStart w:id="3018" w:name="_Toc351994796"/>
      <w:bookmarkStart w:id="3019" w:name="_Toc351996110"/>
      <w:bookmarkStart w:id="3020" w:name="_Toc351994574"/>
      <w:bookmarkStart w:id="3021" w:name="_Toc351994797"/>
      <w:bookmarkStart w:id="3022" w:name="_Toc351996111"/>
      <w:bookmarkStart w:id="3023" w:name="_Toc347153050"/>
      <w:bookmarkStart w:id="3024" w:name="_Toc347214495"/>
      <w:bookmarkStart w:id="3025" w:name="_Toc347303180"/>
      <w:bookmarkStart w:id="3026" w:name="_Toc347387198"/>
      <w:bookmarkStart w:id="3027" w:name="_Toc347477439"/>
      <w:bookmarkStart w:id="3028" w:name="_Toc347493035"/>
      <w:bookmarkStart w:id="3029" w:name="_Toc347495005"/>
      <w:bookmarkStart w:id="3030" w:name="_Toc347501224"/>
      <w:bookmarkStart w:id="3031" w:name="_Toc347153052"/>
      <w:bookmarkStart w:id="3032" w:name="_Toc347214497"/>
      <w:bookmarkStart w:id="3033" w:name="_Toc347303182"/>
      <w:bookmarkStart w:id="3034" w:name="_Toc347387200"/>
      <w:bookmarkStart w:id="3035" w:name="_Toc347477441"/>
      <w:bookmarkStart w:id="3036" w:name="_Toc347493037"/>
      <w:bookmarkStart w:id="3037" w:name="_Toc347495007"/>
      <w:bookmarkStart w:id="3038" w:name="_Toc347501226"/>
      <w:bookmarkStart w:id="3039" w:name="_Toc347387202"/>
      <w:bookmarkStart w:id="3040" w:name="_Toc347477443"/>
      <w:bookmarkStart w:id="3041" w:name="_Toc347493039"/>
      <w:bookmarkStart w:id="3042" w:name="_Toc347495009"/>
      <w:bookmarkStart w:id="3043" w:name="_Toc347501228"/>
      <w:bookmarkStart w:id="3044" w:name="_Toc347387203"/>
      <w:bookmarkStart w:id="3045" w:name="_Toc347477444"/>
      <w:bookmarkStart w:id="3046" w:name="_Toc347493040"/>
      <w:bookmarkStart w:id="3047" w:name="_Toc347495010"/>
      <w:bookmarkStart w:id="3048" w:name="_Toc347501229"/>
      <w:bookmarkStart w:id="3049" w:name="_Toc347387205"/>
      <w:bookmarkStart w:id="3050" w:name="_Toc347477446"/>
      <w:bookmarkStart w:id="3051" w:name="_Toc347493042"/>
      <w:bookmarkStart w:id="3052" w:name="_Toc347495012"/>
      <w:bookmarkStart w:id="3053" w:name="_Toc347501231"/>
      <w:bookmarkStart w:id="3054" w:name="_Toc347387207"/>
      <w:bookmarkStart w:id="3055" w:name="_Toc347477448"/>
      <w:bookmarkStart w:id="3056" w:name="_Toc347493044"/>
      <w:bookmarkStart w:id="3057" w:name="_Toc347495014"/>
      <w:bookmarkStart w:id="3058" w:name="_Toc347501233"/>
      <w:bookmarkStart w:id="3059" w:name="_Toc347477450"/>
      <w:bookmarkStart w:id="3060" w:name="_Toc347493046"/>
      <w:bookmarkStart w:id="3061" w:name="_Toc347495016"/>
      <w:bookmarkStart w:id="3062" w:name="_Toc347501235"/>
      <w:bookmarkStart w:id="3063" w:name="_Toc351994581"/>
      <w:bookmarkStart w:id="3064" w:name="_Toc351994804"/>
      <w:bookmarkStart w:id="3065" w:name="_Toc351996118"/>
      <w:bookmarkStart w:id="3066" w:name="_Toc351994582"/>
      <w:bookmarkStart w:id="3067" w:name="_Toc351994805"/>
      <w:bookmarkStart w:id="3068" w:name="_Toc351996119"/>
      <w:bookmarkStart w:id="3069" w:name="_Toc351994583"/>
      <w:bookmarkStart w:id="3070" w:name="_Toc351994806"/>
      <w:bookmarkStart w:id="3071" w:name="_Toc351996120"/>
      <w:bookmarkStart w:id="3072" w:name="_Toc351994584"/>
      <w:bookmarkStart w:id="3073" w:name="_Toc351994807"/>
      <w:bookmarkStart w:id="3074" w:name="_Toc351996121"/>
      <w:bookmarkStart w:id="3075" w:name="_Toc347493048"/>
      <w:bookmarkStart w:id="3076" w:name="_Toc347495018"/>
      <w:bookmarkStart w:id="3077" w:name="_Toc347501237"/>
      <w:bookmarkStart w:id="3078" w:name="_Toc347477452"/>
      <w:bookmarkStart w:id="3079" w:name="_Toc347493049"/>
      <w:bookmarkStart w:id="3080" w:name="_Toc347495019"/>
      <w:bookmarkStart w:id="3081" w:name="_Toc347501238"/>
      <w:bookmarkStart w:id="3082" w:name="_Toc294772967"/>
      <w:bookmarkStart w:id="3083" w:name="_Toc294774766"/>
      <w:bookmarkStart w:id="3084" w:name="_Toc294776371"/>
      <w:bookmarkStart w:id="3085" w:name="_Toc294777033"/>
      <w:bookmarkStart w:id="3086" w:name="_Toc294777165"/>
      <w:bookmarkStart w:id="3087" w:name="_Toc294777296"/>
      <w:bookmarkStart w:id="3088" w:name="_Toc294777426"/>
      <w:bookmarkStart w:id="3089" w:name="_Toc294777557"/>
      <w:bookmarkStart w:id="3090" w:name="_Toc294777687"/>
      <w:bookmarkStart w:id="3091" w:name="_Toc294779102"/>
      <w:bookmarkStart w:id="3092" w:name="_Toc294779960"/>
      <w:bookmarkStart w:id="3093" w:name="_Toc294785588"/>
      <w:bookmarkStart w:id="3094" w:name="_Toc294791525"/>
      <w:bookmarkStart w:id="3095" w:name="_Toc294793965"/>
      <w:bookmarkStart w:id="3096" w:name="_Toc294794349"/>
      <w:bookmarkStart w:id="3097" w:name="_Toc294794495"/>
      <w:bookmarkStart w:id="3098" w:name="_Toc294794640"/>
      <w:bookmarkStart w:id="3099" w:name="_Toc294794785"/>
      <w:bookmarkStart w:id="3100" w:name="_Toc294794929"/>
      <w:bookmarkStart w:id="3101" w:name="_Toc294795068"/>
      <w:bookmarkStart w:id="3102" w:name="_Toc294795207"/>
      <w:bookmarkStart w:id="3103" w:name="_Toc294795344"/>
      <w:bookmarkStart w:id="3104" w:name="_Toc294795480"/>
      <w:bookmarkStart w:id="3105" w:name="_Toc294797664"/>
      <w:bookmarkStart w:id="3106" w:name="_Toc294858491"/>
      <w:bookmarkStart w:id="3107" w:name="_Toc298767421"/>
      <w:bookmarkStart w:id="3108" w:name="_Toc298771447"/>
      <w:bookmarkStart w:id="3109" w:name="_Toc298853366"/>
      <w:bookmarkStart w:id="3110" w:name="_Toc299548098"/>
      <w:bookmarkStart w:id="3111" w:name="_Toc299548238"/>
      <w:bookmarkStart w:id="3112" w:name="_Toc299548379"/>
      <w:bookmarkStart w:id="3113" w:name="_Toc299549156"/>
      <w:bookmarkStart w:id="3114" w:name="_Toc299549350"/>
      <w:bookmarkStart w:id="3115" w:name="_Toc299549546"/>
      <w:bookmarkStart w:id="3116" w:name="_Toc294772968"/>
      <w:bookmarkStart w:id="3117" w:name="_Toc294774767"/>
      <w:bookmarkStart w:id="3118" w:name="_Toc294776372"/>
      <w:bookmarkStart w:id="3119" w:name="_Toc294777034"/>
      <w:bookmarkStart w:id="3120" w:name="_Toc294777166"/>
      <w:bookmarkStart w:id="3121" w:name="_Toc294777297"/>
      <w:bookmarkStart w:id="3122" w:name="_Toc294777427"/>
      <w:bookmarkStart w:id="3123" w:name="_Toc294777558"/>
      <w:bookmarkStart w:id="3124" w:name="_Toc294777688"/>
      <w:bookmarkStart w:id="3125" w:name="_Toc294779103"/>
      <w:bookmarkStart w:id="3126" w:name="_Toc294779961"/>
      <w:bookmarkStart w:id="3127" w:name="_Toc294785589"/>
      <w:bookmarkStart w:id="3128" w:name="_Toc294791526"/>
      <w:bookmarkStart w:id="3129" w:name="_Toc294793966"/>
      <w:bookmarkStart w:id="3130" w:name="_Toc294794350"/>
      <w:bookmarkStart w:id="3131" w:name="_Toc294794496"/>
      <w:bookmarkStart w:id="3132" w:name="_Toc294794641"/>
      <w:bookmarkStart w:id="3133" w:name="_Toc294794786"/>
      <w:bookmarkStart w:id="3134" w:name="_Toc294794930"/>
      <w:bookmarkStart w:id="3135" w:name="_Toc294795069"/>
      <w:bookmarkStart w:id="3136" w:name="_Toc294795208"/>
      <w:bookmarkStart w:id="3137" w:name="_Toc294795345"/>
      <w:bookmarkStart w:id="3138" w:name="_Toc294795481"/>
      <w:bookmarkStart w:id="3139" w:name="_Toc294797665"/>
      <w:bookmarkStart w:id="3140" w:name="_Toc294858492"/>
      <w:bookmarkStart w:id="3141" w:name="_Toc298767422"/>
      <w:bookmarkStart w:id="3142" w:name="_Toc298771448"/>
      <w:bookmarkStart w:id="3143" w:name="_Toc298853367"/>
      <w:bookmarkStart w:id="3144" w:name="_Toc299548099"/>
      <w:bookmarkStart w:id="3145" w:name="_Toc299548239"/>
      <w:bookmarkStart w:id="3146" w:name="_Toc299548380"/>
      <w:bookmarkStart w:id="3147" w:name="_Toc299549157"/>
      <w:bookmarkStart w:id="3148" w:name="_Toc299549351"/>
      <w:bookmarkStart w:id="3149" w:name="_Toc299549547"/>
      <w:bookmarkStart w:id="3150" w:name="_Toc294772970"/>
      <w:bookmarkStart w:id="3151" w:name="_Toc294774769"/>
      <w:bookmarkStart w:id="3152" w:name="_Toc294776374"/>
      <w:bookmarkStart w:id="3153" w:name="_Toc294777036"/>
      <w:bookmarkStart w:id="3154" w:name="_Toc294777168"/>
      <w:bookmarkStart w:id="3155" w:name="_Toc294777299"/>
      <w:bookmarkStart w:id="3156" w:name="_Toc294777429"/>
      <w:bookmarkStart w:id="3157" w:name="_Toc294777560"/>
      <w:bookmarkStart w:id="3158" w:name="_Toc294777690"/>
      <w:bookmarkStart w:id="3159" w:name="_Toc294779105"/>
      <w:bookmarkStart w:id="3160" w:name="_Toc294779963"/>
      <w:bookmarkStart w:id="3161" w:name="_Toc294785591"/>
      <w:bookmarkStart w:id="3162" w:name="_Toc294791528"/>
      <w:bookmarkStart w:id="3163" w:name="_Toc294793968"/>
      <w:bookmarkStart w:id="3164" w:name="_Toc294794352"/>
      <w:bookmarkStart w:id="3165" w:name="_Toc294794498"/>
      <w:bookmarkStart w:id="3166" w:name="_Toc294794643"/>
      <w:bookmarkStart w:id="3167" w:name="_Toc294794788"/>
      <w:bookmarkStart w:id="3168" w:name="_Toc294794932"/>
      <w:bookmarkStart w:id="3169" w:name="_Toc294795071"/>
      <w:bookmarkStart w:id="3170" w:name="_Toc294795210"/>
      <w:bookmarkStart w:id="3171" w:name="_Toc294795347"/>
      <w:bookmarkStart w:id="3172" w:name="_Toc294795483"/>
      <w:bookmarkStart w:id="3173" w:name="_Toc294797667"/>
      <w:bookmarkStart w:id="3174" w:name="_Toc294858494"/>
      <w:bookmarkStart w:id="3175" w:name="_Toc298767424"/>
      <w:bookmarkStart w:id="3176" w:name="_Toc298771450"/>
      <w:bookmarkStart w:id="3177" w:name="_Toc298853369"/>
      <w:bookmarkStart w:id="3178" w:name="_Toc299548101"/>
      <w:bookmarkStart w:id="3179" w:name="_Toc299548241"/>
      <w:bookmarkStart w:id="3180" w:name="_Toc299548382"/>
      <w:bookmarkStart w:id="3181" w:name="_Toc299549159"/>
      <w:bookmarkStart w:id="3182" w:name="_Toc299549353"/>
      <w:bookmarkStart w:id="3183" w:name="_Toc299549549"/>
      <w:bookmarkStart w:id="3184" w:name="_Toc294772971"/>
      <w:bookmarkStart w:id="3185" w:name="_Toc294774770"/>
      <w:bookmarkStart w:id="3186" w:name="_Toc294776375"/>
      <w:bookmarkStart w:id="3187" w:name="_Toc294777037"/>
      <w:bookmarkStart w:id="3188" w:name="_Toc294777169"/>
      <w:bookmarkStart w:id="3189" w:name="_Toc294777300"/>
      <w:bookmarkStart w:id="3190" w:name="_Toc294777430"/>
      <w:bookmarkStart w:id="3191" w:name="_Toc294777561"/>
      <w:bookmarkStart w:id="3192" w:name="_Toc294777691"/>
      <w:bookmarkStart w:id="3193" w:name="_Toc294779106"/>
      <w:bookmarkStart w:id="3194" w:name="_Toc294779964"/>
      <w:bookmarkStart w:id="3195" w:name="_Toc294785592"/>
      <w:bookmarkStart w:id="3196" w:name="_Toc294791529"/>
      <w:bookmarkStart w:id="3197" w:name="_Toc294793969"/>
      <w:bookmarkStart w:id="3198" w:name="_Toc294794353"/>
      <w:bookmarkStart w:id="3199" w:name="_Toc294794499"/>
      <w:bookmarkStart w:id="3200" w:name="_Toc294794644"/>
      <w:bookmarkStart w:id="3201" w:name="_Toc294794789"/>
      <w:bookmarkStart w:id="3202" w:name="_Toc294794933"/>
      <w:bookmarkStart w:id="3203" w:name="_Toc294795072"/>
      <w:bookmarkStart w:id="3204" w:name="_Toc294795211"/>
      <w:bookmarkStart w:id="3205" w:name="_Toc294795348"/>
      <w:bookmarkStart w:id="3206" w:name="_Toc294795484"/>
      <w:bookmarkStart w:id="3207" w:name="_Toc294797668"/>
      <w:bookmarkStart w:id="3208" w:name="_Toc294858495"/>
      <w:bookmarkStart w:id="3209" w:name="_Toc298767425"/>
      <w:bookmarkStart w:id="3210" w:name="_Toc298771451"/>
      <w:bookmarkStart w:id="3211" w:name="_Toc298853370"/>
      <w:bookmarkStart w:id="3212" w:name="_Toc299548102"/>
      <w:bookmarkStart w:id="3213" w:name="_Toc299548242"/>
      <w:bookmarkStart w:id="3214" w:name="_Toc299548383"/>
      <w:bookmarkStart w:id="3215" w:name="_Toc299549160"/>
      <w:bookmarkStart w:id="3216" w:name="_Toc299549354"/>
      <w:bookmarkStart w:id="3217" w:name="_Toc299549550"/>
      <w:bookmarkStart w:id="3218" w:name="_Toc294772972"/>
      <w:bookmarkStart w:id="3219" w:name="_Toc294774771"/>
      <w:bookmarkStart w:id="3220" w:name="_Toc294776376"/>
      <w:bookmarkStart w:id="3221" w:name="_Toc294777038"/>
      <w:bookmarkStart w:id="3222" w:name="_Toc294777170"/>
      <w:bookmarkStart w:id="3223" w:name="_Toc294777301"/>
      <w:bookmarkStart w:id="3224" w:name="_Toc294777431"/>
      <w:bookmarkStart w:id="3225" w:name="_Toc294777562"/>
      <w:bookmarkStart w:id="3226" w:name="_Toc294777692"/>
      <w:bookmarkStart w:id="3227" w:name="_Toc294779107"/>
      <w:bookmarkStart w:id="3228" w:name="_Toc294779965"/>
      <w:bookmarkStart w:id="3229" w:name="_Toc294785593"/>
      <w:bookmarkStart w:id="3230" w:name="_Toc294791530"/>
      <w:bookmarkStart w:id="3231" w:name="_Toc294793970"/>
      <w:bookmarkStart w:id="3232" w:name="_Toc294794354"/>
      <w:bookmarkStart w:id="3233" w:name="_Toc294794500"/>
      <w:bookmarkStart w:id="3234" w:name="_Toc294794645"/>
      <w:bookmarkStart w:id="3235" w:name="_Toc294794790"/>
      <w:bookmarkStart w:id="3236" w:name="_Toc294794934"/>
      <w:bookmarkStart w:id="3237" w:name="_Toc294795073"/>
      <w:bookmarkStart w:id="3238" w:name="_Toc294795212"/>
      <w:bookmarkStart w:id="3239" w:name="_Toc294795349"/>
      <w:bookmarkStart w:id="3240" w:name="_Toc294795485"/>
      <w:bookmarkStart w:id="3241" w:name="_Toc294797669"/>
      <w:bookmarkStart w:id="3242" w:name="_Toc294858496"/>
      <w:bookmarkStart w:id="3243" w:name="_Toc298767426"/>
      <w:bookmarkStart w:id="3244" w:name="_Toc298771452"/>
      <w:bookmarkStart w:id="3245" w:name="_Toc298853371"/>
      <w:bookmarkStart w:id="3246" w:name="_Toc299548103"/>
      <w:bookmarkStart w:id="3247" w:name="_Toc299548243"/>
      <w:bookmarkStart w:id="3248" w:name="_Toc299548384"/>
      <w:bookmarkStart w:id="3249" w:name="_Toc299549161"/>
      <w:bookmarkStart w:id="3250" w:name="_Toc299549355"/>
      <w:bookmarkStart w:id="3251" w:name="_Toc299549551"/>
      <w:bookmarkStart w:id="3252" w:name="_Toc294772973"/>
      <w:bookmarkStart w:id="3253" w:name="_Toc294774772"/>
      <w:bookmarkStart w:id="3254" w:name="_Toc294776377"/>
      <w:bookmarkStart w:id="3255" w:name="_Toc294777039"/>
      <w:bookmarkStart w:id="3256" w:name="_Toc294777171"/>
      <w:bookmarkStart w:id="3257" w:name="_Toc294777302"/>
      <w:bookmarkStart w:id="3258" w:name="_Toc294777432"/>
      <w:bookmarkStart w:id="3259" w:name="_Toc294777563"/>
      <w:bookmarkStart w:id="3260" w:name="_Toc294777693"/>
      <w:bookmarkStart w:id="3261" w:name="_Toc294779108"/>
      <w:bookmarkStart w:id="3262" w:name="_Toc294779966"/>
      <w:bookmarkStart w:id="3263" w:name="_Toc294785594"/>
      <w:bookmarkStart w:id="3264" w:name="_Toc294791531"/>
      <w:bookmarkStart w:id="3265" w:name="_Toc294793971"/>
      <w:bookmarkStart w:id="3266" w:name="_Toc294794355"/>
      <w:bookmarkStart w:id="3267" w:name="_Toc294794501"/>
      <w:bookmarkStart w:id="3268" w:name="_Toc294794646"/>
      <w:bookmarkStart w:id="3269" w:name="_Toc294794791"/>
      <w:bookmarkStart w:id="3270" w:name="_Toc294794935"/>
      <w:bookmarkStart w:id="3271" w:name="_Toc294795074"/>
      <w:bookmarkStart w:id="3272" w:name="_Toc294795213"/>
      <w:bookmarkStart w:id="3273" w:name="_Toc294795350"/>
      <w:bookmarkStart w:id="3274" w:name="_Toc294795486"/>
      <w:bookmarkStart w:id="3275" w:name="_Toc294797670"/>
      <w:bookmarkStart w:id="3276" w:name="_Toc294858497"/>
      <w:bookmarkStart w:id="3277" w:name="_Toc298767427"/>
      <w:bookmarkStart w:id="3278" w:name="_Toc298771453"/>
      <w:bookmarkStart w:id="3279" w:name="_Toc298853372"/>
      <w:bookmarkStart w:id="3280" w:name="_Toc299548104"/>
      <w:bookmarkStart w:id="3281" w:name="_Toc299548244"/>
      <w:bookmarkStart w:id="3282" w:name="_Toc299548385"/>
      <w:bookmarkStart w:id="3283" w:name="_Toc299549162"/>
      <w:bookmarkStart w:id="3284" w:name="_Toc299549356"/>
      <w:bookmarkStart w:id="3285" w:name="_Toc299549552"/>
      <w:bookmarkStart w:id="3286" w:name="_Toc294772974"/>
      <w:bookmarkStart w:id="3287" w:name="_Toc294774773"/>
      <w:bookmarkStart w:id="3288" w:name="_Toc294776378"/>
      <w:bookmarkStart w:id="3289" w:name="_Toc294777040"/>
      <w:bookmarkStart w:id="3290" w:name="_Toc294777172"/>
      <w:bookmarkStart w:id="3291" w:name="_Toc294777303"/>
      <w:bookmarkStart w:id="3292" w:name="_Toc294777433"/>
      <w:bookmarkStart w:id="3293" w:name="_Toc294777564"/>
      <w:bookmarkStart w:id="3294" w:name="_Toc294777694"/>
      <w:bookmarkStart w:id="3295" w:name="_Toc294779109"/>
      <w:bookmarkStart w:id="3296" w:name="_Toc294779967"/>
      <w:bookmarkStart w:id="3297" w:name="_Toc294785595"/>
      <w:bookmarkStart w:id="3298" w:name="_Toc294791532"/>
      <w:bookmarkStart w:id="3299" w:name="_Toc294793972"/>
      <w:bookmarkStart w:id="3300" w:name="_Toc294794356"/>
      <w:bookmarkStart w:id="3301" w:name="_Toc294794502"/>
      <w:bookmarkStart w:id="3302" w:name="_Toc294794647"/>
      <w:bookmarkStart w:id="3303" w:name="_Toc294794792"/>
      <w:bookmarkStart w:id="3304" w:name="_Toc294794936"/>
      <w:bookmarkStart w:id="3305" w:name="_Toc294795075"/>
      <w:bookmarkStart w:id="3306" w:name="_Toc294795214"/>
      <w:bookmarkStart w:id="3307" w:name="_Toc294795351"/>
      <w:bookmarkStart w:id="3308" w:name="_Toc294795487"/>
      <w:bookmarkStart w:id="3309" w:name="_Toc294797671"/>
      <w:bookmarkStart w:id="3310" w:name="_Toc294858498"/>
      <w:bookmarkStart w:id="3311" w:name="_Toc298767428"/>
      <w:bookmarkStart w:id="3312" w:name="_Toc298771454"/>
      <w:bookmarkStart w:id="3313" w:name="_Toc298853373"/>
      <w:bookmarkStart w:id="3314" w:name="_Toc299548105"/>
      <w:bookmarkStart w:id="3315" w:name="_Toc299548245"/>
      <w:bookmarkStart w:id="3316" w:name="_Toc299548386"/>
      <w:bookmarkStart w:id="3317" w:name="_Toc299549163"/>
      <w:bookmarkStart w:id="3318" w:name="_Toc299549357"/>
      <w:bookmarkStart w:id="3319" w:name="_Toc299549553"/>
      <w:bookmarkStart w:id="3320" w:name="_Toc294772975"/>
      <w:bookmarkStart w:id="3321" w:name="_Toc294774774"/>
      <w:bookmarkStart w:id="3322" w:name="_Toc294776379"/>
      <w:bookmarkStart w:id="3323" w:name="_Toc294777041"/>
      <w:bookmarkStart w:id="3324" w:name="_Toc294777173"/>
      <w:bookmarkStart w:id="3325" w:name="_Toc294777304"/>
      <w:bookmarkStart w:id="3326" w:name="_Toc294777434"/>
      <w:bookmarkStart w:id="3327" w:name="_Toc294777565"/>
      <w:bookmarkStart w:id="3328" w:name="_Toc294777695"/>
      <w:bookmarkStart w:id="3329" w:name="_Toc294779110"/>
      <w:bookmarkStart w:id="3330" w:name="_Toc294779968"/>
      <w:bookmarkStart w:id="3331" w:name="_Toc294785596"/>
      <w:bookmarkStart w:id="3332" w:name="_Toc294791533"/>
      <w:bookmarkStart w:id="3333" w:name="_Toc294793973"/>
      <w:bookmarkStart w:id="3334" w:name="_Toc294794357"/>
      <w:bookmarkStart w:id="3335" w:name="_Toc294794503"/>
      <w:bookmarkStart w:id="3336" w:name="_Toc294794648"/>
      <w:bookmarkStart w:id="3337" w:name="_Toc294794793"/>
      <w:bookmarkStart w:id="3338" w:name="_Toc294794937"/>
      <w:bookmarkStart w:id="3339" w:name="_Toc294795076"/>
      <w:bookmarkStart w:id="3340" w:name="_Toc294795215"/>
      <w:bookmarkStart w:id="3341" w:name="_Toc294795352"/>
      <w:bookmarkStart w:id="3342" w:name="_Toc294795488"/>
      <w:bookmarkStart w:id="3343" w:name="_Toc294797672"/>
      <w:bookmarkStart w:id="3344" w:name="_Toc294858499"/>
      <w:bookmarkStart w:id="3345" w:name="_Toc298767429"/>
      <w:bookmarkStart w:id="3346" w:name="_Toc298771455"/>
      <w:bookmarkStart w:id="3347" w:name="_Toc298853374"/>
      <w:bookmarkStart w:id="3348" w:name="_Toc299548106"/>
      <w:bookmarkStart w:id="3349" w:name="_Toc299548246"/>
      <w:bookmarkStart w:id="3350" w:name="_Toc299548387"/>
      <w:bookmarkStart w:id="3351" w:name="_Toc299549164"/>
      <w:bookmarkStart w:id="3352" w:name="_Toc299549358"/>
      <w:bookmarkStart w:id="3353" w:name="_Toc299549554"/>
      <w:bookmarkStart w:id="3354" w:name="_Toc294772976"/>
      <w:bookmarkStart w:id="3355" w:name="_Toc294774775"/>
      <w:bookmarkStart w:id="3356" w:name="_Toc294776380"/>
      <w:bookmarkStart w:id="3357" w:name="_Toc294777042"/>
      <w:bookmarkStart w:id="3358" w:name="_Toc294777174"/>
      <w:bookmarkStart w:id="3359" w:name="_Toc294777305"/>
      <w:bookmarkStart w:id="3360" w:name="_Toc294777435"/>
      <w:bookmarkStart w:id="3361" w:name="_Toc294777566"/>
      <w:bookmarkStart w:id="3362" w:name="_Toc294777696"/>
      <w:bookmarkStart w:id="3363" w:name="_Toc294779111"/>
      <w:bookmarkStart w:id="3364" w:name="_Toc294779969"/>
      <w:bookmarkStart w:id="3365" w:name="_Toc294785597"/>
      <w:bookmarkStart w:id="3366" w:name="_Toc294791534"/>
      <w:bookmarkStart w:id="3367" w:name="_Toc294793974"/>
      <w:bookmarkStart w:id="3368" w:name="_Toc294794358"/>
      <w:bookmarkStart w:id="3369" w:name="_Toc294794504"/>
      <w:bookmarkStart w:id="3370" w:name="_Toc294794649"/>
      <w:bookmarkStart w:id="3371" w:name="_Toc294794794"/>
      <w:bookmarkStart w:id="3372" w:name="_Toc294794938"/>
      <w:bookmarkStart w:id="3373" w:name="_Toc294795077"/>
      <w:bookmarkStart w:id="3374" w:name="_Toc294795216"/>
      <w:bookmarkStart w:id="3375" w:name="_Toc294795353"/>
      <w:bookmarkStart w:id="3376" w:name="_Toc294795489"/>
      <w:bookmarkStart w:id="3377" w:name="_Toc294797673"/>
      <w:bookmarkStart w:id="3378" w:name="_Toc294858500"/>
      <w:bookmarkStart w:id="3379" w:name="_Toc298767430"/>
      <w:bookmarkStart w:id="3380" w:name="_Toc298771456"/>
      <w:bookmarkStart w:id="3381" w:name="_Toc298853375"/>
      <w:bookmarkStart w:id="3382" w:name="_Toc299548107"/>
      <w:bookmarkStart w:id="3383" w:name="_Toc299548247"/>
      <w:bookmarkStart w:id="3384" w:name="_Toc299548388"/>
      <w:bookmarkStart w:id="3385" w:name="_Toc299549165"/>
      <w:bookmarkStart w:id="3386" w:name="_Toc299549359"/>
      <w:bookmarkStart w:id="3387" w:name="_Toc299549555"/>
      <w:bookmarkStart w:id="3388" w:name="_Toc294772977"/>
      <w:bookmarkStart w:id="3389" w:name="_Toc294774776"/>
      <w:bookmarkStart w:id="3390" w:name="_Toc294776381"/>
      <w:bookmarkStart w:id="3391" w:name="_Toc294777043"/>
      <w:bookmarkStart w:id="3392" w:name="_Toc294777175"/>
      <w:bookmarkStart w:id="3393" w:name="_Toc294777306"/>
      <w:bookmarkStart w:id="3394" w:name="_Toc294777436"/>
      <w:bookmarkStart w:id="3395" w:name="_Toc294777567"/>
      <w:bookmarkStart w:id="3396" w:name="_Toc294777697"/>
      <w:bookmarkStart w:id="3397" w:name="_Toc294779112"/>
      <w:bookmarkStart w:id="3398" w:name="_Toc294779970"/>
      <w:bookmarkStart w:id="3399" w:name="_Toc294785598"/>
      <w:bookmarkStart w:id="3400" w:name="_Toc294791535"/>
      <w:bookmarkStart w:id="3401" w:name="_Toc294793975"/>
      <w:bookmarkStart w:id="3402" w:name="_Toc294794359"/>
      <w:bookmarkStart w:id="3403" w:name="_Toc294794505"/>
      <w:bookmarkStart w:id="3404" w:name="_Toc294794650"/>
      <w:bookmarkStart w:id="3405" w:name="_Toc294794795"/>
      <w:bookmarkStart w:id="3406" w:name="_Toc294794939"/>
      <w:bookmarkStart w:id="3407" w:name="_Toc294795078"/>
      <w:bookmarkStart w:id="3408" w:name="_Toc294795217"/>
      <w:bookmarkStart w:id="3409" w:name="_Toc294795354"/>
      <w:bookmarkStart w:id="3410" w:name="_Toc294795490"/>
      <w:bookmarkStart w:id="3411" w:name="_Toc294797674"/>
      <w:bookmarkStart w:id="3412" w:name="_Toc294858501"/>
      <w:bookmarkStart w:id="3413" w:name="_Toc298767431"/>
      <w:bookmarkStart w:id="3414" w:name="_Toc298771457"/>
      <w:bookmarkStart w:id="3415" w:name="_Toc298853376"/>
      <w:bookmarkStart w:id="3416" w:name="_Toc299548108"/>
      <w:bookmarkStart w:id="3417" w:name="_Toc299548248"/>
      <w:bookmarkStart w:id="3418" w:name="_Toc299548389"/>
      <w:bookmarkStart w:id="3419" w:name="_Toc299549166"/>
      <w:bookmarkStart w:id="3420" w:name="_Toc299549360"/>
      <w:bookmarkStart w:id="3421" w:name="_Toc299549556"/>
      <w:bookmarkStart w:id="3422" w:name="QMR001"/>
      <w:bookmarkStart w:id="3423" w:name="_Toc214781853"/>
      <w:bookmarkStart w:id="3424" w:name="_Toc214782709"/>
      <w:bookmarkStart w:id="3425" w:name="_Toc215388564"/>
      <w:bookmarkStart w:id="3426" w:name="_Toc214683231"/>
      <w:bookmarkStart w:id="3427" w:name="_Toc214683404"/>
      <w:bookmarkStart w:id="3428" w:name="_Toc214693790"/>
      <w:bookmarkStart w:id="3429" w:name="_Toc214781854"/>
      <w:bookmarkStart w:id="3430" w:name="_Toc214782710"/>
      <w:bookmarkStart w:id="3431" w:name="_Toc215388565"/>
      <w:bookmarkStart w:id="3432" w:name="QMR002"/>
      <w:bookmarkStart w:id="3433" w:name="_Toc274637388"/>
      <w:bookmarkStart w:id="3434" w:name="_Toc278527952"/>
      <w:bookmarkStart w:id="3435" w:name="_Toc274637389"/>
      <w:bookmarkStart w:id="3436" w:name="_Toc278527953"/>
      <w:bookmarkStart w:id="3437" w:name="_Toc274637390"/>
      <w:bookmarkStart w:id="3438" w:name="_Toc278527954"/>
      <w:bookmarkStart w:id="3439" w:name="QMR212"/>
      <w:bookmarkStart w:id="3440" w:name="QMR219u"/>
      <w:bookmarkStart w:id="3441" w:name="_Toc214683246"/>
      <w:bookmarkStart w:id="3442" w:name="_Toc214683420"/>
      <w:bookmarkStart w:id="3443" w:name="_Toc214693807"/>
      <w:bookmarkStart w:id="3444" w:name="_Toc214781871"/>
      <w:bookmarkStart w:id="3445" w:name="_Toc214782727"/>
      <w:bookmarkStart w:id="3446" w:name="_Toc215388582"/>
      <w:bookmarkStart w:id="3447" w:name="_Toc214683247"/>
      <w:bookmarkStart w:id="3448" w:name="_Toc214683421"/>
      <w:bookmarkStart w:id="3449" w:name="_Toc214693808"/>
      <w:bookmarkStart w:id="3450" w:name="_Toc214781872"/>
      <w:bookmarkStart w:id="3451" w:name="_Toc214782728"/>
      <w:bookmarkStart w:id="3452" w:name="_Toc215388583"/>
      <w:bookmarkStart w:id="3453" w:name="QMR800"/>
      <w:bookmarkStart w:id="3454" w:name="_Toc299549171"/>
      <w:bookmarkStart w:id="3455" w:name="_Toc299549365"/>
      <w:bookmarkStart w:id="3456" w:name="_Toc299549172"/>
      <w:bookmarkStart w:id="3457" w:name="_Toc299549366"/>
      <w:bookmarkStart w:id="3458" w:name="_Toc299549173"/>
      <w:bookmarkStart w:id="3459" w:name="_Toc299549367"/>
      <w:bookmarkStart w:id="3460" w:name="_Toc299549174"/>
      <w:bookmarkStart w:id="3461" w:name="_Toc299549368"/>
      <w:bookmarkStart w:id="3462" w:name="_Toc299549175"/>
      <w:bookmarkStart w:id="3463" w:name="_Toc299549369"/>
      <w:bookmarkStart w:id="3464" w:name="_Toc299549176"/>
      <w:bookmarkStart w:id="3465" w:name="_Toc299549370"/>
      <w:bookmarkStart w:id="3466" w:name="_Toc299549177"/>
      <w:bookmarkStart w:id="3467" w:name="_Toc299549371"/>
      <w:bookmarkStart w:id="3468" w:name="_Toc299549178"/>
      <w:bookmarkStart w:id="3469" w:name="_Toc299549372"/>
      <w:bookmarkStart w:id="3470" w:name="_Toc299549179"/>
      <w:bookmarkStart w:id="3471" w:name="_Toc299549373"/>
      <w:bookmarkStart w:id="3472" w:name="_Toc299549180"/>
      <w:bookmarkStart w:id="3473" w:name="_Toc299549374"/>
      <w:bookmarkStart w:id="3474" w:name="_Toc299549181"/>
      <w:bookmarkStart w:id="3475" w:name="_Toc299549375"/>
      <w:bookmarkStart w:id="3476" w:name="_Toc299549182"/>
      <w:bookmarkStart w:id="3477" w:name="_Toc299549376"/>
      <w:bookmarkStart w:id="3478" w:name="_Toc299549184"/>
      <w:bookmarkStart w:id="3479" w:name="_Toc299549378"/>
      <w:bookmarkStart w:id="3480" w:name="_Toc299549186"/>
      <w:bookmarkStart w:id="3481" w:name="_Toc299549380"/>
      <w:bookmarkStart w:id="3482" w:name="_Toc299549218"/>
      <w:bookmarkStart w:id="3483" w:name="_Toc299549412"/>
      <w:bookmarkStart w:id="3484" w:name="_Toc299549220"/>
      <w:bookmarkStart w:id="3485" w:name="_Toc299549414"/>
      <w:bookmarkStart w:id="3486" w:name="_Toc299549221"/>
      <w:bookmarkStart w:id="3487" w:name="_Toc299549415"/>
      <w:bookmarkStart w:id="3488" w:name="_Toc299549222"/>
      <w:bookmarkStart w:id="3489" w:name="_Toc299549416"/>
      <w:bookmarkStart w:id="3490" w:name="_Toc299549223"/>
      <w:bookmarkStart w:id="3491" w:name="_Toc299549417"/>
      <w:bookmarkStart w:id="3492" w:name="_Toc299549224"/>
      <w:bookmarkStart w:id="3493" w:name="_Toc299549418"/>
      <w:bookmarkStart w:id="3494" w:name="_Toc242525169"/>
      <w:bookmarkStart w:id="3495" w:name="_Toc242610294"/>
      <w:bookmarkStart w:id="3496" w:name="_Toc243109524"/>
      <w:bookmarkStart w:id="3497" w:name="_Toc243197758"/>
      <w:bookmarkStart w:id="3498" w:name="_Toc243205415"/>
      <w:bookmarkStart w:id="3499" w:name="_Toc243205547"/>
      <w:bookmarkStart w:id="3500" w:name="_Toc243795704"/>
      <w:bookmarkStart w:id="3501" w:name="_Toc243820534"/>
      <w:bookmarkStart w:id="3502" w:name="_Toc245090509"/>
      <w:bookmarkStart w:id="3503" w:name="_Toc242525170"/>
      <w:bookmarkStart w:id="3504" w:name="_Toc242610295"/>
      <w:bookmarkStart w:id="3505" w:name="_Toc243109525"/>
      <w:bookmarkStart w:id="3506" w:name="_Toc243197759"/>
      <w:bookmarkStart w:id="3507" w:name="_Toc243205416"/>
      <w:bookmarkStart w:id="3508" w:name="_Toc243205548"/>
      <w:bookmarkStart w:id="3509" w:name="_Toc243795705"/>
      <w:bookmarkStart w:id="3510" w:name="_Toc243820535"/>
      <w:bookmarkStart w:id="3511" w:name="_Toc245090510"/>
      <w:bookmarkStart w:id="3512" w:name="_Toc299549225"/>
      <w:bookmarkStart w:id="3513" w:name="_Toc299549419"/>
      <w:bookmarkStart w:id="3514" w:name="_Toc299549226"/>
      <w:bookmarkStart w:id="3515" w:name="_Toc299549420"/>
      <w:bookmarkStart w:id="3516" w:name="_Toc299549227"/>
      <w:bookmarkStart w:id="3517" w:name="_Toc299549421"/>
      <w:bookmarkStart w:id="3518" w:name="_Toc299549228"/>
      <w:bookmarkStart w:id="3519" w:name="_Toc299549422"/>
      <w:bookmarkStart w:id="3520" w:name="_Toc299549229"/>
      <w:bookmarkStart w:id="3521" w:name="_Toc299549423"/>
      <w:bookmarkStart w:id="3522" w:name="_Toc299549230"/>
      <w:bookmarkStart w:id="3523" w:name="_Toc299549424"/>
      <w:bookmarkStart w:id="3524" w:name="_Toc299549231"/>
      <w:bookmarkStart w:id="3525" w:name="_Toc299549425"/>
      <w:bookmarkStart w:id="3526" w:name="_Toc299549232"/>
      <w:bookmarkStart w:id="3527" w:name="_Toc299549426"/>
      <w:bookmarkStart w:id="3528" w:name="_Toc299549233"/>
      <w:bookmarkStart w:id="3529" w:name="_Toc299549427"/>
      <w:bookmarkStart w:id="3530" w:name="_Toc299549234"/>
      <w:bookmarkStart w:id="3531" w:name="_Toc299549428"/>
      <w:bookmarkStart w:id="3532" w:name="_Toc299549236"/>
      <w:bookmarkStart w:id="3533" w:name="_Toc299549430"/>
      <w:bookmarkStart w:id="3534" w:name="QMR192"/>
      <w:bookmarkStart w:id="3535" w:name="QMR104"/>
      <w:bookmarkStart w:id="3536" w:name="_Toc257638834"/>
      <w:bookmarkStart w:id="3537" w:name="_Toc257638835"/>
      <w:bookmarkStart w:id="3538" w:name="QMR260"/>
      <w:bookmarkStart w:id="3539" w:name="QMR270u"/>
      <w:bookmarkStart w:id="3540" w:name="QMR290"/>
      <w:bookmarkStart w:id="3541" w:name="QMR610u"/>
      <w:bookmarkStart w:id="3542" w:name="_Toc243795732"/>
      <w:bookmarkStart w:id="3543" w:name="_Toc243820562"/>
      <w:bookmarkStart w:id="3544" w:name="_Toc245090537"/>
      <w:bookmarkStart w:id="3545" w:name="QMR650u"/>
      <w:bookmarkStart w:id="3546" w:name="QMR101"/>
      <w:bookmarkStart w:id="3547" w:name="QMR190"/>
      <w:bookmarkStart w:id="3548" w:name="_Toc274637443"/>
      <w:bookmarkStart w:id="3549" w:name="_Toc278528007"/>
      <w:bookmarkStart w:id="3550" w:name="_Toc274637444"/>
      <w:bookmarkStart w:id="3551" w:name="_Toc278528008"/>
      <w:bookmarkStart w:id="3552" w:name="_Toc274637445"/>
      <w:bookmarkStart w:id="3553" w:name="_Toc278528009"/>
      <w:bookmarkStart w:id="3554" w:name="_Toc257628429"/>
      <w:bookmarkStart w:id="3555" w:name="_Toc257633688"/>
      <w:bookmarkStart w:id="3556" w:name="_Toc257638855"/>
      <w:bookmarkStart w:id="3557" w:name="_Toc242525207"/>
      <w:bookmarkStart w:id="3558" w:name="_Toc242610332"/>
      <w:bookmarkStart w:id="3559" w:name="_Toc243109562"/>
      <w:bookmarkStart w:id="3560" w:name="_Toc243197796"/>
      <w:bookmarkStart w:id="3561" w:name="_Toc243205453"/>
      <w:bookmarkStart w:id="3562" w:name="_Toc243205585"/>
      <w:bookmarkStart w:id="3563" w:name="_Toc243795743"/>
      <w:bookmarkStart w:id="3564" w:name="_Toc243820573"/>
      <w:bookmarkStart w:id="3565" w:name="_Toc245090548"/>
      <w:bookmarkStart w:id="3566" w:name="_Toc242525208"/>
      <w:bookmarkStart w:id="3567" w:name="_Toc242610333"/>
      <w:bookmarkStart w:id="3568" w:name="_Toc243109563"/>
      <w:bookmarkStart w:id="3569" w:name="_Toc243197797"/>
      <w:bookmarkStart w:id="3570" w:name="_Toc243205454"/>
      <w:bookmarkStart w:id="3571" w:name="_Toc243205586"/>
      <w:bookmarkStart w:id="3572" w:name="_Toc243795744"/>
      <w:bookmarkStart w:id="3573" w:name="_Toc243820574"/>
      <w:bookmarkStart w:id="3574" w:name="_Toc245090549"/>
      <w:bookmarkStart w:id="3575" w:name="_Toc242525209"/>
      <w:bookmarkStart w:id="3576" w:name="_Toc242610334"/>
      <w:bookmarkStart w:id="3577" w:name="_Toc243109564"/>
      <w:bookmarkStart w:id="3578" w:name="_Toc243197798"/>
      <w:bookmarkStart w:id="3579" w:name="_Toc243205455"/>
      <w:bookmarkStart w:id="3580" w:name="_Toc243205587"/>
      <w:bookmarkStart w:id="3581" w:name="_Toc243795745"/>
      <w:bookmarkStart w:id="3582" w:name="_Toc243820575"/>
      <w:bookmarkStart w:id="3583" w:name="_Toc245090550"/>
      <w:bookmarkStart w:id="3584" w:name="QMR250"/>
      <w:bookmarkStart w:id="3585" w:name="QMR544u"/>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r w:rsidRPr="00957273">
        <w:rPr>
          <w:rFonts w:ascii="Arial" w:hAnsi="Arial" w:cs="Arial"/>
          <w:b/>
          <w:lang w:val="fr-FR"/>
        </w:rPr>
        <w:lastRenderedPageBreak/>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proofErr w:type="spellStart"/>
      <w:r w:rsidRPr="006E2906">
        <w:rPr>
          <w:rFonts w:ascii="Arial" w:hAnsi="Arial" w:cs="Arial"/>
          <w:b/>
          <w:lang w:val="fr-FR"/>
        </w:rPr>
        <w:t>Complementary</w:t>
      </w:r>
      <w:proofErr w:type="spellEnd"/>
      <w:r w:rsidRPr="00F6319E">
        <w:rPr>
          <w:rFonts w:ascii="Arial" w:hAnsi="Arial" w:cs="Arial"/>
          <w:b/>
          <w:lang w:val="fr-FR"/>
        </w:rPr>
        <w:t xml:space="preserve"> Identification Code (CIC) Table</w:t>
      </w:r>
    </w:p>
    <w:bookmarkStart w:id="3586" w:name="_MON_1772889444"/>
    <w:bookmarkEnd w:id="3586"/>
    <w:p w14:paraId="1E6EBE8B" w14:textId="6C7B2D54" w:rsidR="00144114" w:rsidRDefault="008E174C" w:rsidP="00D174D0">
      <w:pPr>
        <w:snapToGrid w:val="0"/>
        <w:spacing w:after="120" w:line="280" w:lineRule="atLeast"/>
        <w:rPr>
          <w:rFonts w:ascii="Arial" w:hAnsi="Arial" w:cs="Arial"/>
          <w:b/>
          <w:lang w:val="en-US"/>
        </w:rPr>
      </w:pPr>
      <w:r>
        <w:rPr>
          <w:rFonts w:ascii="Arial" w:hAnsi="Arial" w:cs="Arial"/>
          <w:b/>
          <w:lang w:val="en-US"/>
        </w:rPr>
        <w:object w:dxaOrig="1271" w:dyaOrig="828"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1.25pt" o:ole="">
            <v:imagedata r:id="rId40" o:title=""/>
          </v:shape>
          <o:OLEObject Type="Embed" ProgID="Excel.Sheet.12" ShapeID="_x0000_i1025" DrawAspect="Icon" ObjectID="_1820141154" r:id="rId41"/>
        </w:object>
      </w:r>
    </w:p>
    <w:p w14:paraId="1990ADBE" w14:textId="7B9936F8"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r>
        <w:rPr>
          <w:rFonts w:ascii="Arial" w:hAnsi="Arial" w:cs="Arial"/>
          <w:b/>
          <w:lang w:val="en-US"/>
        </w:rPr>
        <w:t>s</w:t>
      </w:r>
      <w:r w:rsidRPr="00114E1F">
        <w:rPr>
          <w:rFonts w:ascii="Arial" w:hAnsi="Arial" w:cs="Arial"/>
          <w:b/>
          <w:lang w:val="en-US"/>
        </w:rPr>
        <w:t xml:space="preserve"> </w:t>
      </w:r>
      <w:r>
        <w:rPr>
          <w:rFonts w:ascii="Arial" w:hAnsi="Arial" w:cs="Arial"/>
          <w:b/>
          <w:lang w:val="en-US"/>
        </w:rPr>
        <w:t>(</w:t>
      </w:r>
      <w:r w:rsidRPr="00114E1F">
        <w:rPr>
          <w:rFonts w:ascii="Arial" w:hAnsi="Arial" w:cs="Arial"/>
          <w:b/>
          <w:lang w:val="en-US"/>
        </w:rPr>
        <w:t>QSR910</w:t>
      </w:r>
      <w:r>
        <w:rPr>
          <w:rFonts w:ascii="Arial" w:hAnsi="Arial" w:cs="Arial"/>
          <w:b/>
          <w:lang w:val="en-US"/>
        </w:rPr>
        <w:t xml:space="preserve"> and QAD910)</w:t>
      </w:r>
      <w:r w:rsidR="00C84980">
        <w:rPr>
          <w:rFonts w:ascii="Arial" w:hAnsi="Arial" w:cs="Arial"/>
          <w:b/>
          <w:lang w:val="en-US"/>
        </w:rPr>
        <w:t xml:space="preserve"> </w:t>
      </w:r>
    </w:p>
    <w:bookmarkStart w:id="3587" w:name="_MON_1819361971"/>
    <w:bookmarkEnd w:id="3587"/>
    <w:p w14:paraId="5E66244B" w14:textId="61636DB2" w:rsidR="00D174D0" w:rsidRDefault="00450FCC" w:rsidP="00D174D0">
      <w:pPr>
        <w:snapToGrid w:val="0"/>
        <w:spacing w:after="120" w:line="280" w:lineRule="atLeast"/>
        <w:rPr>
          <w:rFonts w:ascii="Arial" w:hAnsi="Arial" w:cs="Arial"/>
          <w:b/>
          <w:lang w:val="en-US"/>
        </w:rPr>
      </w:pPr>
      <w:r>
        <w:rPr>
          <w:rFonts w:ascii="Arial" w:hAnsi="Arial" w:cs="Arial"/>
          <w:b/>
          <w:lang w:val="en-US"/>
        </w:rPr>
        <w:object w:dxaOrig="1539" w:dyaOrig="997" w14:anchorId="3E743DB3">
          <v:shape id="_x0000_i1026" type="#_x0000_t75" style="width:76.5pt;height:50.25pt" o:ole="">
            <v:imagedata r:id="rId42" o:title=""/>
          </v:shape>
          <o:OLEObject Type="Embed" ProgID="Word.Document.8" ShapeID="_x0000_i1026" DrawAspect="Icon" ObjectID="_1820141155" r:id="rId43">
            <o:FieldCodes>\s</o:FieldCodes>
          </o:OLEObject>
        </w:object>
      </w:r>
    </w:p>
    <w:p w14:paraId="0F8B3C06" w14:textId="5AFE651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 QSR and QAD</w:t>
      </w:r>
      <w:r w:rsidRPr="00B002DD">
        <w:rPr>
          <w:rFonts w:ascii="Arial" w:hAnsi="Arial" w:cs="Arial"/>
          <w:b/>
          <w:szCs w:val="22"/>
        </w:rPr>
        <w:t xml:space="preserve"> forms and specifications</w:t>
      </w:r>
    </w:p>
    <w:bookmarkStart w:id="3588" w:name="_MON_1820139545"/>
    <w:bookmarkEnd w:id="3588"/>
    <w:p w14:paraId="41CF377B" w14:textId="3B751720" w:rsidR="00164853" w:rsidRDefault="003D05C5" w:rsidP="00D174D0">
      <w:pPr>
        <w:snapToGrid w:val="0"/>
        <w:spacing w:after="120" w:line="280" w:lineRule="atLeast"/>
        <w:rPr>
          <w:rFonts w:ascii="Arial" w:hAnsi="Arial" w:cs="Arial"/>
          <w:b/>
          <w:lang w:val="en-US"/>
        </w:rPr>
      </w:pPr>
      <w:r>
        <w:rPr>
          <w:rFonts w:ascii="Arial" w:hAnsi="Arial" w:cs="Arial"/>
          <w:b/>
          <w:lang w:val="en-US"/>
        </w:rPr>
        <w:object w:dxaOrig="1539" w:dyaOrig="997" w14:anchorId="751ACDE6">
          <v:shape id="_x0000_i1027" type="#_x0000_t75" style="width:76.5pt;height:50.25pt" o:ole="">
            <v:imagedata r:id="rId44" o:title=""/>
          </v:shape>
          <o:OLEObject Type="Embed" ProgID="Excel.Sheet.12" ShapeID="_x0000_i1027" DrawAspect="Icon" ObjectID="_1820141156" r:id="rId45"/>
        </w:object>
      </w:r>
      <w:r w:rsidR="00450FCC">
        <w:rPr>
          <w:rFonts w:ascii="Arial" w:hAnsi="Arial" w:cs="Arial"/>
          <w:b/>
          <w:lang w:val="en-US"/>
        </w:rPr>
        <w:t xml:space="preserve">  </w:t>
      </w:r>
      <w:r w:rsidR="00450FCC">
        <w:rPr>
          <w:rFonts w:ascii="Arial" w:hAnsi="Arial" w:cs="Arial"/>
          <w:b/>
          <w:lang w:val="en-US"/>
        </w:rPr>
        <w:object w:dxaOrig="1539" w:dyaOrig="997" w14:anchorId="26F45764">
          <v:shape id="_x0000_i1028" type="#_x0000_t75" style="width:76.5pt;height:50.25pt" o:ole="">
            <v:imagedata r:id="rId46" o:title=""/>
          </v:shape>
          <o:OLEObject Type="Embed" ProgID="Excel.Sheet.12" ShapeID="_x0000_i1028" DrawAspect="Icon" ObjectID="_1820141157" r:id="rId47"/>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589" w:name="_MON_1756635749"/>
    <w:bookmarkEnd w:id="3589"/>
    <w:p w14:paraId="520F10EE" w14:textId="7D0D2566" w:rsidR="00D174D0" w:rsidRDefault="00A25DC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29" type="#_x0000_t75" style="width:81.75pt;height:51pt" o:ole="">
            <v:imagedata r:id="rId48" o:title=""/>
          </v:shape>
          <o:OLEObject Type="Embed" ProgID="Excel.Sheet.12" ShapeID="_x0000_i1029" DrawAspect="Icon" ObjectID="_1820141158" r:id="rId49"/>
        </w:object>
      </w:r>
    </w:p>
    <w:p w14:paraId="270956ED" w14:textId="77777777" w:rsidR="00A9214A" w:rsidRDefault="00A9214A" w:rsidP="00A9214A">
      <w:pPr>
        <w:snapToGrid w:val="0"/>
        <w:spacing w:after="120" w:line="280" w:lineRule="atLeast"/>
        <w:rPr>
          <w:rFonts w:ascii="Arial" w:hAnsi="Arial" w:cs="Arial"/>
          <w:b/>
          <w:lang w:val="en-US"/>
        </w:rPr>
      </w:pPr>
      <w:r>
        <w:rPr>
          <w:rFonts w:ascii="Arial" w:hAnsi="Arial" w:cs="Arial"/>
          <w:b/>
          <w:lang w:val="en-US"/>
        </w:rPr>
        <w:t>Appendix 5: CF syndicate loan template</w:t>
      </w:r>
    </w:p>
    <w:bookmarkStart w:id="3590" w:name="_MON_1820139518"/>
    <w:bookmarkEnd w:id="3590"/>
    <w:p w14:paraId="07DB85CA" w14:textId="34D3B0B8" w:rsidR="006C3B59" w:rsidRDefault="003D05C5" w:rsidP="00D174D0">
      <w:pPr>
        <w:snapToGrid w:val="0"/>
        <w:spacing w:after="120" w:line="280" w:lineRule="atLeast"/>
        <w:rPr>
          <w:rFonts w:ascii="Arial" w:hAnsi="Arial" w:cs="Arial"/>
          <w:b/>
          <w:lang w:val="en-US"/>
        </w:rPr>
      </w:pPr>
      <w:r>
        <w:rPr>
          <w:rFonts w:ascii="Arial" w:hAnsi="Arial" w:cs="Arial"/>
          <w:b/>
          <w:lang w:val="en-US"/>
        </w:rPr>
        <w:object w:dxaOrig="1539" w:dyaOrig="997" w14:anchorId="330662AE">
          <v:shape id="_x0000_i1030" type="#_x0000_t75" style="width:76.5pt;height:50.25pt" o:ole="">
            <v:imagedata r:id="rId50" o:title=""/>
          </v:shape>
          <o:OLEObject Type="Embed" ProgID="Excel.Sheet.12" ShapeID="_x0000_i1030" DrawAspect="Icon" ObjectID="_1820141159" r:id="rId51"/>
        </w:object>
      </w:r>
    </w:p>
    <w:p w14:paraId="6F87917E" w14:textId="77777777" w:rsidR="006C3B59" w:rsidRDefault="006C3B59" w:rsidP="006C3B59">
      <w:pPr>
        <w:snapToGrid w:val="0"/>
        <w:spacing w:after="120" w:line="280" w:lineRule="atLeast"/>
        <w:rPr>
          <w:rFonts w:ascii="Arial" w:hAnsi="Arial" w:cs="Arial"/>
          <w:b/>
          <w:lang w:val="en-US"/>
        </w:rPr>
      </w:pPr>
      <w:r>
        <w:rPr>
          <w:rFonts w:ascii="Arial" w:hAnsi="Arial" w:cs="Arial"/>
          <w:b/>
          <w:lang w:val="en-US"/>
        </w:rPr>
        <w:t>Appendix 6: additional guidance on reporting the Part VII transfer</w:t>
      </w:r>
    </w:p>
    <w:bookmarkStart w:id="3591" w:name="_MON_1697549792"/>
    <w:bookmarkEnd w:id="3591"/>
    <w:p w14:paraId="18C066C6" w14:textId="7B9E08A6" w:rsidR="006C3B59" w:rsidRDefault="00870DFD" w:rsidP="00D174D0">
      <w:pPr>
        <w:snapToGrid w:val="0"/>
        <w:spacing w:after="120" w:line="280" w:lineRule="atLeast"/>
        <w:rPr>
          <w:rFonts w:ascii="Arial" w:hAnsi="Arial" w:cs="Arial"/>
          <w:b/>
          <w:lang w:val="en-US"/>
        </w:rPr>
      </w:pPr>
      <w:r>
        <w:rPr>
          <w:rFonts w:ascii="Arial" w:hAnsi="Arial" w:cs="Arial"/>
          <w:b/>
          <w:lang w:val="en-US"/>
        </w:rPr>
        <w:object w:dxaOrig="1539" w:dyaOrig="997" w14:anchorId="6C13D0DF">
          <v:shape id="_x0000_i1031" type="#_x0000_t75" style="width:77.25pt;height:51pt" o:ole="">
            <v:imagedata r:id="rId52" o:title=""/>
          </v:shape>
          <o:OLEObject Type="Embed" ProgID="Word.Document.12" ShapeID="_x0000_i1031" DrawAspect="Icon" ObjectID="_1820141160" r:id="rId53">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BFBDF" w14:textId="77777777" w:rsidR="00397399" w:rsidRDefault="00397399">
      <w:r>
        <w:separator/>
      </w:r>
    </w:p>
    <w:p w14:paraId="711A9C02" w14:textId="77777777" w:rsidR="00397399" w:rsidRDefault="00397399"/>
  </w:endnote>
  <w:endnote w:type="continuationSeparator" w:id="0">
    <w:p w14:paraId="40380A61" w14:textId="77777777" w:rsidR="00397399" w:rsidRDefault="00397399">
      <w:r>
        <w:continuationSeparator/>
      </w:r>
    </w:p>
    <w:p w14:paraId="40F3054D" w14:textId="77777777" w:rsidR="00397399" w:rsidRDefault="00397399"/>
  </w:endnote>
  <w:endnote w:type="continuationNotice" w:id="1">
    <w:p w14:paraId="38228B40" w14:textId="77777777" w:rsidR="00397399" w:rsidRDefault="003973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9B59" w14:textId="792039B2" w:rsidR="00164853" w:rsidRDefault="00C86924">
    <w:pPr>
      <w:pStyle w:val="Footer"/>
    </w:pPr>
    <w:r>
      <w:rPr>
        <w:noProof/>
      </w:rPr>
      <mc:AlternateContent>
        <mc:Choice Requires="wps">
          <w:drawing>
            <wp:anchor distT="0" distB="0" distL="0" distR="0" simplePos="0" relativeHeight="251659264" behindDoc="0" locked="0" layoutInCell="1" allowOverlap="1" wp14:anchorId="64524F48" wp14:editId="70BBBEE7">
              <wp:simplePos x="635" y="635"/>
              <wp:positionH relativeFrom="page">
                <wp:align>center</wp:align>
              </wp:positionH>
              <wp:positionV relativeFrom="page">
                <wp:align>bottom</wp:align>
              </wp:positionV>
              <wp:extent cx="1355090" cy="345440"/>
              <wp:effectExtent l="0" t="0" r="16510" b="0"/>
              <wp:wrapNone/>
              <wp:docPr id="288154846"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24F48"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fill o:detectmouseclick="t"/>
              <v:textbox style="mso-fit-shape-to-text:t" inset="0,0,0,15pt">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899F" w14:textId="6AC2AA90" w:rsidR="005B7B96" w:rsidRPr="001C1E23" w:rsidRDefault="00C86924">
    <w:pPr>
      <w:pStyle w:val="Footer"/>
      <w:jc w:val="center"/>
      <w:rPr>
        <w:rFonts w:ascii="Arial" w:hAnsi="Arial" w:cs="Arial"/>
      </w:rPr>
    </w:pPr>
    <w:r>
      <w:rPr>
        <w:rFonts w:ascii="Arial" w:hAnsi="Arial" w:cs="Arial"/>
        <w:noProof/>
      </w:rPr>
      <mc:AlternateContent>
        <mc:Choice Requires="wps">
          <w:drawing>
            <wp:anchor distT="0" distB="0" distL="0" distR="0" simplePos="0" relativeHeight="251660288" behindDoc="0" locked="0" layoutInCell="1" allowOverlap="1" wp14:anchorId="49163ED6" wp14:editId="2CF9F8F4">
              <wp:simplePos x="0" y="10182225"/>
              <wp:positionH relativeFrom="page">
                <wp:align>center</wp:align>
              </wp:positionH>
              <wp:positionV relativeFrom="page">
                <wp:align>bottom</wp:align>
              </wp:positionV>
              <wp:extent cx="1355090" cy="345440"/>
              <wp:effectExtent l="0" t="0" r="16510" b="0"/>
              <wp:wrapNone/>
              <wp:docPr id="1806148531"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163ED6"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fill o:detectmouseclick="t"/>
              <v:textbox style="mso-fit-shape-to-text:t" inset="0,0,0,15pt">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BF1C" w14:textId="60B86939" w:rsidR="00164853" w:rsidRDefault="00C86924">
    <w:pPr>
      <w:pStyle w:val="Footer"/>
    </w:pPr>
    <w:r>
      <w:rPr>
        <w:noProof/>
      </w:rPr>
      <mc:AlternateContent>
        <mc:Choice Requires="wps">
          <w:drawing>
            <wp:anchor distT="0" distB="0" distL="0" distR="0" simplePos="0" relativeHeight="251658240" behindDoc="0" locked="0" layoutInCell="1" allowOverlap="1" wp14:anchorId="1DA992B1" wp14:editId="285ACFC7">
              <wp:simplePos x="635" y="635"/>
              <wp:positionH relativeFrom="page">
                <wp:align>center</wp:align>
              </wp:positionH>
              <wp:positionV relativeFrom="page">
                <wp:align>bottom</wp:align>
              </wp:positionV>
              <wp:extent cx="1355090" cy="345440"/>
              <wp:effectExtent l="0" t="0" r="16510" b="0"/>
              <wp:wrapNone/>
              <wp:docPr id="505930261"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992B1"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AAB95" w14:textId="77777777" w:rsidR="00397399" w:rsidRDefault="00397399">
      <w:r>
        <w:separator/>
      </w:r>
    </w:p>
    <w:p w14:paraId="6DA52926" w14:textId="77777777" w:rsidR="00397399" w:rsidRDefault="00397399"/>
  </w:footnote>
  <w:footnote w:type="continuationSeparator" w:id="0">
    <w:p w14:paraId="53FF5BDB" w14:textId="77777777" w:rsidR="00397399" w:rsidRDefault="00397399">
      <w:r>
        <w:continuationSeparator/>
      </w:r>
    </w:p>
    <w:p w14:paraId="0673BB9A" w14:textId="77777777" w:rsidR="00397399" w:rsidRDefault="00397399"/>
  </w:footnote>
  <w:footnote w:type="continuationNotice" w:id="1">
    <w:p w14:paraId="4BCFD336" w14:textId="77777777" w:rsidR="00397399" w:rsidRDefault="003973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2"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8"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2"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3"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844A00"/>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6"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5"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6"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59"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58"/>
  </w:num>
  <w:num w:numId="2" w16cid:durableId="797525950">
    <w:abstractNumId w:val="55"/>
  </w:num>
  <w:num w:numId="3" w16cid:durableId="139614399">
    <w:abstractNumId w:val="1"/>
  </w:num>
  <w:num w:numId="4" w16cid:durableId="941913031">
    <w:abstractNumId w:val="31"/>
  </w:num>
  <w:num w:numId="5" w16cid:durableId="1396201735">
    <w:abstractNumId w:val="17"/>
  </w:num>
  <w:num w:numId="6" w16cid:durableId="1198859556">
    <w:abstractNumId w:val="4"/>
  </w:num>
  <w:num w:numId="7" w16cid:durableId="528447246">
    <w:abstractNumId w:val="6"/>
  </w:num>
  <w:num w:numId="8" w16cid:durableId="872885621">
    <w:abstractNumId w:val="15"/>
  </w:num>
  <w:num w:numId="9" w16cid:durableId="1319075312">
    <w:abstractNumId w:val="20"/>
  </w:num>
  <w:num w:numId="10" w16cid:durableId="1782728138">
    <w:abstractNumId w:val="56"/>
  </w:num>
  <w:num w:numId="11" w16cid:durableId="448670221">
    <w:abstractNumId w:val="43"/>
  </w:num>
  <w:num w:numId="12" w16cid:durableId="1488282293">
    <w:abstractNumId w:val="16"/>
  </w:num>
  <w:num w:numId="13" w16cid:durableId="1628658875">
    <w:abstractNumId w:val="32"/>
  </w:num>
  <w:num w:numId="14" w16cid:durableId="1966883431">
    <w:abstractNumId w:val="7"/>
  </w:num>
  <w:num w:numId="15" w16cid:durableId="53504820">
    <w:abstractNumId w:val="51"/>
  </w:num>
  <w:num w:numId="16" w16cid:durableId="1210075156">
    <w:abstractNumId w:val="37"/>
  </w:num>
  <w:num w:numId="17" w16cid:durableId="1721586628">
    <w:abstractNumId w:val="49"/>
  </w:num>
  <w:num w:numId="18" w16cid:durableId="1476876389">
    <w:abstractNumId w:val="34"/>
  </w:num>
  <w:num w:numId="19" w16cid:durableId="1588879862">
    <w:abstractNumId w:val="3"/>
  </w:num>
  <w:num w:numId="20" w16cid:durableId="2089374921">
    <w:abstractNumId w:val="40"/>
  </w:num>
  <w:num w:numId="21" w16cid:durableId="1225919378">
    <w:abstractNumId w:val="48"/>
  </w:num>
  <w:num w:numId="22" w16cid:durableId="319650468">
    <w:abstractNumId w:val="11"/>
  </w:num>
  <w:num w:numId="23" w16cid:durableId="125899239">
    <w:abstractNumId w:val="20"/>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19"/>
  </w:num>
  <w:num w:numId="25" w16cid:durableId="902368529">
    <w:abstractNumId w:val="41"/>
  </w:num>
  <w:num w:numId="26" w16cid:durableId="1455254458">
    <w:abstractNumId w:val="23"/>
  </w:num>
  <w:num w:numId="27" w16cid:durableId="1349285895">
    <w:abstractNumId w:val="53"/>
  </w:num>
  <w:num w:numId="28" w16cid:durableId="1512648273">
    <w:abstractNumId w:val="18"/>
  </w:num>
  <w:num w:numId="29" w16cid:durableId="1726949283">
    <w:abstractNumId w:val="36"/>
  </w:num>
  <w:num w:numId="30" w16cid:durableId="2086226116">
    <w:abstractNumId w:val="30"/>
  </w:num>
  <w:num w:numId="31" w16cid:durableId="182549005">
    <w:abstractNumId w:val="13"/>
  </w:num>
  <w:num w:numId="32" w16cid:durableId="823161375">
    <w:abstractNumId w:val="57"/>
  </w:num>
  <w:num w:numId="33" w16cid:durableId="1595868214">
    <w:abstractNumId w:val="46"/>
  </w:num>
  <w:num w:numId="34" w16cid:durableId="77141464">
    <w:abstractNumId w:val="45"/>
  </w:num>
  <w:num w:numId="35" w16cid:durableId="376394529">
    <w:abstractNumId w:val="24"/>
  </w:num>
  <w:num w:numId="36" w16cid:durableId="65883459">
    <w:abstractNumId w:val="5"/>
  </w:num>
  <w:num w:numId="37" w16cid:durableId="789394986">
    <w:abstractNumId w:val="28"/>
  </w:num>
  <w:num w:numId="38" w16cid:durableId="1761871017">
    <w:abstractNumId w:val="42"/>
  </w:num>
  <w:num w:numId="39" w16cid:durableId="987049035">
    <w:abstractNumId w:val="14"/>
  </w:num>
  <w:num w:numId="40" w16cid:durableId="1297176804">
    <w:abstractNumId w:val="8"/>
  </w:num>
  <w:num w:numId="41" w16cid:durableId="147213222">
    <w:abstractNumId w:val="10"/>
  </w:num>
  <w:num w:numId="42" w16cid:durableId="75127133">
    <w:abstractNumId w:val="47"/>
  </w:num>
  <w:num w:numId="43" w16cid:durableId="1560634423">
    <w:abstractNumId w:val="39"/>
  </w:num>
  <w:num w:numId="44" w16cid:durableId="725301800">
    <w:abstractNumId w:val="26"/>
  </w:num>
  <w:num w:numId="45" w16cid:durableId="1227909984">
    <w:abstractNumId w:val="61"/>
  </w:num>
  <w:num w:numId="46" w16cid:durableId="50807705">
    <w:abstractNumId w:val="50"/>
  </w:num>
  <w:num w:numId="47" w16cid:durableId="285738539">
    <w:abstractNumId w:val="54"/>
  </w:num>
  <w:num w:numId="48" w16cid:durableId="963002518">
    <w:abstractNumId w:val="25"/>
  </w:num>
  <w:num w:numId="49" w16cid:durableId="1587614937">
    <w:abstractNumId w:val="12"/>
    <w:lvlOverride w:ilvl="0">
      <w:startOverride w:val="4"/>
    </w:lvlOverride>
    <w:lvlOverride w:ilvl="1">
      <w:startOverride w:val="1"/>
    </w:lvlOverride>
  </w:num>
  <w:num w:numId="50" w16cid:durableId="260339500">
    <w:abstractNumId w:val="0"/>
  </w:num>
  <w:num w:numId="51" w16cid:durableId="1297175023">
    <w:abstractNumId w:val="59"/>
  </w:num>
  <w:num w:numId="52" w16cid:durableId="1485047460">
    <w:abstractNumId w:val="35"/>
  </w:num>
  <w:num w:numId="53" w16cid:durableId="1697777042">
    <w:abstractNumId w:val="33"/>
  </w:num>
  <w:num w:numId="54" w16cid:durableId="537788555">
    <w:abstractNumId w:val="60"/>
  </w:num>
  <w:num w:numId="55" w16cid:durableId="1201354628">
    <w:abstractNumId w:val="9"/>
  </w:num>
  <w:num w:numId="56" w16cid:durableId="1062019004">
    <w:abstractNumId w:val="52"/>
  </w:num>
  <w:num w:numId="57" w16cid:durableId="17770967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4"/>
  </w:num>
  <w:num w:numId="59" w16cid:durableId="416295558">
    <w:abstractNumId w:val="38"/>
  </w:num>
  <w:num w:numId="60" w16cid:durableId="1444110607">
    <w:abstractNumId w:val="22"/>
  </w:num>
  <w:num w:numId="61" w16cid:durableId="352615577">
    <w:abstractNumId w:val="29"/>
  </w:num>
  <w:num w:numId="62" w16cid:durableId="659962131">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A96"/>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5AE"/>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AE9"/>
    <w:rsid w:val="00014050"/>
    <w:rsid w:val="00014053"/>
    <w:rsid w:val="000145A1"/>
    <w:rsid w:val="0001461A"/>
    <w:rsid w:val="00014A57"/>
    <w:rsid w:val="0001512A"/>
    <w:rsid w:val="0001530C"/>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912"/>
    <w:rsid w:val="000249D5"/>
    <w:rsid w:val="00024A3B"/>
    <w:rsid w:val="00024C47"/>
    <w:rsid w:val="000255A0"/>
    <w:rsid w:val="00025B91"/>
    <w:rsid w:val="00025DCF"/>
    <w:rsid w:val="00025F54"/>
    <w:rsid w:val="00025F62"/>
    <w:rsid w:val="000266A2"/>
    <w:rsid w:val="000268B2"/>
    <w:rsid w:val="00026CA8"/>
    <w:rsid w:val="00026F6F"/>
    <w:rsid w:val="000271E6"/>
    <w:rsid w:val="00027368"/>
    <w:rsid w:val="0002759F"/>
    <w:rsid w:val="00027703"/>
    <w:rsid w:val="0003000E"/>
    <w:rsid w:val="000300CC"/>
    <w:rsid w:val="00030856"/>
    <w:rsid w:val="00030D88"/>
    <w:rsid w:val="000313CA"/>
    <w:rsid w:val="00031BA5"/>
    <w:rsid w:val="00031C8C"/>
    <w:rsid w:val="00031CE7"/>
    <w:rsid w:val="00031DBB"/>
    <w:rsid w:val="00031FF1"/>
    <w:rsid w:val="00032241"/>
    <w:rsid w:val="00032572"/>
    <w:rsid w:val="0003263C"/>
    <w:rsid w:val="0003287D"/>
    <w:rsid w:val="00032DCC"/>
    <w:rsid w:val="00033655"/>
    <w:rsid w:val="00034212"/>
    <w:rsid w:val="00034790"/>
    <w:rsid w:val="00034898"/>
    <w:rsid w:val="00034972"/>
    <w:rsid w:val="00034AB0"/>
    <w:rsid w:val="00034C32"/>
    <w:rsid w:val="0003519F"/>
    <w:rsid w:val="00035487"/>
    <w:rsid w:val="0003597C"/>
    <w:rsid w:val="000362A9"/>
    <w:rsid w:val="00036407"/>
    <w:rsid w:val="0003654B"/>
    <w:rsid w:val="00036C87"/>
    <w:rsid w:val="00036F15"/>
    <w:rsid w:val="00037531"/>
    <w:rsid w:val="000379B5"/>
    <w:rsid w:val="00040213"/>
    <w:rsid w:val="00040307"/>
    <w:rsid w:val="00040F28"/>
    <w:rsid w:val="000410DC"/>
    <w:rsid w:val="0004129B"/>
    <w:rsid w:val="0004173D"/>
    <w:rsid w:val="000417C1"/>
    <w:rsid w:val="00041998"/>
    <w:rsid w:val="00041B09"/>
    <w:rsid w:val="00041CA5"/>
    <w:rsid w:val="000426B3"/>
    <w:rsid w:val="00042B72"/>
    <w:rsid w:val="00042F6F"/>
    <w:rsid w:val="00043C4B"/>
    <w:rsid w:val="000440E9"/>
    <w:rsid w:val="0004440B"/>
    <w:rsid w:val="000444D4"/>
    <w:rsid w:val="00044690"/>
    <w:rsid w:val="00044870"/>
    <w:rsid w:val="00044D31"/>
    <w:rsid w:val="00045802"/>
    <w:rsid w:val="00045979"/>
    <w:rsid w:val="00045D34"/>
    <w:rsid w:val="00045FCC"/>
    <w:rsid w:val="000460C8"/>
    <w:rsid w:val="00046150"/>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768"/>
    <w:rsid w:val="00065F6C"/>
    <w:rsid w:val="00065FCD"/>
    <w:rsid w:val="00066465"/>
    <w:rsid w:val="00066715"/>
    <w:rsid w:val="000668D5"/>
    <w:rsid w:val="00066C7B"/>
    <w:rsid w:val="00066D19"/>
    <w:rsid w:val="00066F2B"/>
    <w:rsid w:val="00067266"/>
    <w:rsid w:val="0006731D"/>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34D"/>
    <w:rsid w:val="00077429"/>
    <w:rsid w:val="00077947"/>
    <w:rsid w:val="00077D10"/>
    <w:rsid w:val="00077D24"/>
    <w:rsid w:val="00077FE5"/>
    <w:rsid w:val="00080427"/>
    <w:rsid w:val="0008056E"/>
    <w:rsid w:val="0008088B"/>
    <w:rsid w:val="00081B03"/>
    <w:rsid w:val="00081B66"/>
    <w:rsid w:val="00081E28"/>
    <w:rsid w:val="00082200"/>
    <w:rsid w:val="00082440"/>
    <w:rsid w:val="000825FF"/>
    <w:rsid w:val="000826F8"/>
    <w:rsid w:val="0008285C"/>
    <w:rsid w:val="00082947"/>
    <w:rsid w:val="00083540"/>
    <w:rsid w:val="00083767"/>
    <w:rsid w:val="000839D8"/>
    <w:rsid w:val="00083BC8"/>
    <w:rsid w:val="00083EF5"/>
    <w:rsid w:val="00084402"/>
    <w:rsid w:val="000845BF"/>
    <w:rsid w:val="000849CB"/>
    <w:rsid w:val="00084DA6"/>
    <w:rsid w:val="00084DAB"/>
    <w:rsid w:val="00084FD0"/>
    <w:rsid w:val="00085130"/>
    <w:rsid w:val="00085420"/>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964"/>
    <w:rsid w:val="00090CC5"/>
    <w:rsid w:val="00090D02"/>
    <w:rsid w:val="000914C2"/>
    <w:rsid w:val="0009199D"/>
    <w:rsid w:val="00092255"/>
    <w:rsid w:val="00092313"/>
    <w:rsid w:val="000923EB"/>
    <w:rsid w:val="00092F23"/>
    <w:rsid w:val="00093710"/>
    <w:rsid w:val="00093D70"/>
    <w:rsid w:val="00093DEF"/>
    <w:rsid w:val="0009419F"/>
    <w:rsid w:val="000943CF"/>
    <w:rsid w:val="00094942"/>
    <w:rsid w:val="00094A25"/>
    <w:rsid w:val="00094BDD"/>
    <w:rsid w:val="00094D1A"/>
    <w:rsid w:val="00094E10"/>
    <w:rsid w:val="00095023"/>
    <w:rsid w:val="0009510E"/>
    <w:rsid w:val="0009521D"/>
    <w:rsid w:val="000952CD"/>
    <w:rsid w:val="0009532E"/>
    <w:rsid w:val="000953FE"/>
    <w:rsid w:val="000955CF"/>
    <w:rsid w:val="000955E3"/>
    <w:rsid w:val="000959D7"/>
    <w:rsid w:val="00095AF9"/>
    <w:rsid w:val="00095DF9"/>
    <w:rsid w:val="0009604D"/>
    <w:rsid w:val="000961B9"/>
    <w:rsid w:val="000964EB"/>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6D8"/>
    <w:rsid w:val="000A27B6"/>
    <w:rsid w:val="000A2949"/>
    <w:rsid w:val="000A2B13"/>
    <w:rsid w:val="000A2B6B"/>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91F"/>
    <w:rsid w:val="000A7A10"/>
    <w:rsid w:val="000A7A44"/>
    <w:rsid w:val="000A7B20"/>
    <w:rsid w:val="000A7C7C"/>
    <w:rsid w:val="000A7C99"/>
    <w:rsid w:val="000B00E5"/>
    <w:rsid w:val="000B0287"/>
    <w:rsid w:val="000B051C"/>
    <w:rsid w:val="000B063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889"/>
    <w:rsid w:val="000B5A83"/>
    <w:rsid w:val="000B5F01"/>
    <w:rsid w:val="000B631E"/>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2DF0"/>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1980"/>
    <w:rsid w:val="000D2013"/>
    <w:rsid w:val="000D23A7"/>
    <w:rsid w:val="000D24CF"/>
    <w:rsid w:val="000D25FF"/>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8D"/>
    <w:rsid w:val="000E2A5B"/>
    <w:rsid w:val="000E2D8C"/>
    <w:rsid w:val="000E2FB3"/>
    <w:rsid w:val="000E30A3"/>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051"/>
    <w:rsid w:val="000E60F1"/>
    <w:rsid w:val="000E61BD"/>
    <w:rsid w:val="000E62BF"/>
    <w:rsid w:val="000E64BC"/>
    <w:rsid w:val="000E65A8"/>
    <w:rsid w:val="000E69BC"/>
    <w:rsid w:val="000E6E53"/>
    <w:rsid w:val="000E7292"/>
    <w:rsid w:val="000E72AA"/>
    <w:rsid w:val="000E757D"/>
    <w:rsid w:val="000E7D1F"/>
    <w:rsid w:val="000E7E32"/>
    <w:rsid w:val="000F042A"/>
    <w:rsid w:val="000F0930"/>
    <w:rsid w:val="000F0A4D"/>
    <w:rsid w:val="000F0CD4"/>
    <w:rsid w:val="000F0D8E"/>
    <w:rsid w:val="000F1516"/>
    <w:rsid w:val="000F161B"/>
    <w:rsid w:val="000F1CE5"/>
    <w:rsid w:val="000F21DF"/>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606"/>
    <w:rsid w:val="000F7639"/>
    <w:rsid w:val="000F7B53"/>
    <w:rsid w:val="000F7FC7"/>
    <w:rsid w:val="00100046"/>
    <w:rsid w:val="00100131"/>
    <w:rsid w:val="001003E3"/>
    <w:rsid w:val="00100555"/>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FFA"/>
    <w:rsid w:val="00103350"/>
    <w:rsid w:val="001033FC"/>
    <w:rsid w:val="00103754"/>
    <w:rsid w:val="00103781"/>
    <w:rsid w:val="00103BB6"/>
    <w:rsid w:val="00104212"/>
    <w:rsid w:val="001043A5"/>
    <w:rsid w:val="00104757"/>
    <w:rsid w:val="00104860"/>
    <w:rsid w:val="001053CB"/>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964"/>
    <w:rsid w:val="00112B76"/>
    <w:rsid w:val="00112E7C"/>
    <w:rsid w:val="00113129"/>
    <w:rsid w:val="0011312C"/>
    <w:rsid w:val="0011386A"/>
    <w:rsid w:val="00113904"/>
    <w:rsid w:val="00113ACE"/>
    <w:rsid w:val="00113CA7"/>
    <w:rsid w:val="00113DD9"/>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149E"/>
    <w:rsid w:val="00122035"/>
    <w:rsid w:val="00122395"/>
    <w:rsid w:val="0012241D"/>
    <w:rsid w:val="00122EAD"/>
    <w:rsid w:val="001237F4"/>
    <w:rsid w:val="00123BEF"/>
    <w:rsid w:val="00123C6A"/>
    <w:rsid w:val="00123D33"/>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71"/>
    <w:rsid w:val="0013499C"/>
    <w:rsid w:val="00134CD1"/>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316"/>
    <w:rsid w:val="0014381E"/>
    <w:rsid w:val="00143B3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C3D"/>
    <w:rsid w:val="00151C45"/>
    <w:rsid w:val="00151FB7"/>
    <w:rsid w:val="0015213D"/>
    <w:rsid w:val="00152C70"/>
    <w:rsid w:val="00152E3D"/>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D9F"/>
    <w:rsid w:val="00160FA8"/>
    <w:rsid w:val="0016107E"/>
    <w:rsid w:val="00162025"/>
    <w:rsid w:val="001620A8"/>
    <w:rsid w:val="001621C3"/>
    <w:rsid w:val="0016248B"/>
    <w:rsid w:val="00162AC9"/>
    <w:rsid w:val="00162C37"/>
    <w:rsid w:val="00162C68"/>
    <w:rsid w:val="00163283"/>
    <w:rsid w:val="001632B1"/>
    <w:rsid w:val="0016332B"/>
    <w:rsid w:val="001633BB"/>
    <w:rsid w:val="001634D0"/>
    <w:rsid w:val="00163661"/>
    <w:rsid w:val="00163B9D"/>
    <w:rsid w:val="001640D7"/>
    <w:rsid w:val="00164786"/>
    <w:rsid w:val="00164853"/>
    <w:rsid w:val="00164AC7"/>
    <w:rsid w:val="00164E29"/>
    <w:rsid w:val="00164E95"/>
    <w:rsid w:val="00165D48"/>
    <w:rsid w:val="00165E71"/>
    <w:rsid w:val="00166030"/>
    <w:rsid w:val="00166991"/>
    <w:rsid w:val="00166CD8"/>
    <w:rsid w:val="00166D0C"/>
    <w:rsid w:val="00167101"/>
    <w:rsid w:val="00167106"/>
    <w:rsid w:val="001671CC"/>
    <w:rsid w:val="0016762B"/>
    <w:rsid w:val="00167654"/>
    <w:rsid w:val="001678BB"/>
    <w:rsid w:val="00167CE9"/>
    <w:rsid w:val="001706A9"/>
    <w:rsid w:val="00170BD4"/>
    <w:rsid w:val="00171537"/>
    <w:rsid w:val="001717D0"/>
    <w:rsid w:val="00172073"/>
    <w:rsid w:val="00172112"/>
    <w:rsid w:val="0017239E"/>
    <w:rsid w:val="0017247B"/>
    <w:rsid w:val="001725F2"/>
    <w:rsid w:val="0017279D"/>
    <w:rsid w:val="00172DD9"/>
    <w:rsid w:val="00172EDC"/>
    <w:rsid w:val="00172F2A"/>
    <w:rsid w:val="001735F7"/>
    <w:rsid w:val="001737D6"/>
    <w:rsid w:val="001739C5"/>
    <w:rsid w:val="00173D27"/>
    <w:rsid w:val="00173D6F"/>
    <w:rsid w:val="00173DCB"/>
    <w:rsid w:val="00174084"/>
    <w:rsid w:val="001740F1"/>
    <w:rsid w:val="00174713"/>
    <w:rsid w:val="00174C26"/>
    <w:rsid w:val="00174E42"/>
    <w:rsid w:val="001751AB"/>
    <w:rsid w:val="00175204"/>
    <w:rsid w:val="001756D9"/>
    <w:rsid w:val="00175766"/>
    <w:rsid w:val="00175D39"/>
    <w:rsid w:val="00176028"/>
    <w:rsid w:val="001761D8"/>
    <w:rsid w:val="001768CF"/>
    <w:rsid w:val="001772C0"/>
    <w:rsid w:val="001774F0"/>
    <w:rsid w:val="001779FB"/>
    <w:rsid w:val="00177FC7"/>
    <w:rsid w:val="00177FE3"/>
    <w:rsid w:val="0018030A"/>
    <w:rsid w:val="001807D3"/>
    <w:rsid w:val="00180807"/>
    <w:rsid w:val="00180C8D"/>
    <w:rsid w:val="00181929"/>
    <w:rsid w:val="00181CD0"/>
    <w:rsid w:val="00181CD9"/>
    <w:rsid w:val="0018206B"/>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7329"/>
    <w:rsid w:val="00187752"/>
    <w:rsid w:val="00187A1D"/>
    <w:rsid w:val="00187FB0"/>
    <w:rsid w:val="001901BA"/>
    <w:rsid w:val="001906FE"/>
    <w:rsid w:val="00190744"/>
    <w:rsid w:val="00190958"/>
    <w:rsid w:val="00190D4C"/>
    <w:rsid w:val="00191715"/>
    <w:rsid w:val="00192070"/>
    <w:rsid w:val="001921F5"/>
    <w:rsid w:val="001922C9"/>
    <w:rsid w:val="001925CF"/>
    <w:rsid w:val="00192E1D"/>
    <w:rsid w:val="00192ED0"/>
    <w:rsid w:val="00192FD3"/>
    <w:rsid w:val="00193024"/>
    <w:rsid w:val="00193366"/>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AE2"/>
    <w:rsid w:val="001A0CED"/>
    <w:rsid w:val="001A1987"/>
    <w:rsid w:val="001A1BCF"/>
    <w:rsid w:val="001A1EED"/>
    <w:rsid w:val="001A21C1"/>
    <w:rsid w:val="001A275F"/>
    <w:rsid w:val="001A29AE"/>
    <w:rsid w:val="001A2D31"/>
    <w:rsid w:val="001A2E27"/>
    <w:rsid w:val="001A2FFC"/>
    <w:rsid w:val="001A32CE"/>
    <w:rsid w:val="001A33DC"/>
    <w:rsid w:val="001A3614"/>
    <w:rsid w:val="001A36F8"/>
    <w:rsid w:val="001A438C"/>
    <w:rsid w:val="001A4D35"/>
    <w:rsid w:val="001A4E58"/>
    <w:rsid w:val="001A50CC"/>
    <w:rsid w:val="001A5840"/>
    <w:rsid w:val="001A58B6"/>
    <w:rsid w:val="001A5CD1"/>
    <w:rsid w:val="001A6201"/>
    <w:rsid w:val="001A64EC"/>
    <w:rsid w:val="001A6A65"/>
    <w:rsid w:val="001A74A5"/>
    <w:rsid w:val="001A7559"/>
    <w:rsid w:val="001A7996"/>
    <w:rsid w:val="001A7C80"/>
    <w:rsid w:val="001B039C"/>
    <w:rsid w:val="001B0496"/>
    <w:rsid w:val="001B0508"/>
    <w:rsid w:val="001B057C"/>
    <w:rsid w:val="001B08AE"/>
    <w:rsid w:val="001B09AD"/>
    <w:rsid w:val="001B09B9"/>
    <w:rsid w:val="001B0C62"/>
    <w:rsid w:val="001B11E6"/>
    <w:rsid w:val="001B175F"/>
    <w:rsid w:val="001B18CC"/>
    <w:rsid w:val="001B1DCC"/>
    <w:rsid w:val="001B219C"/>
    <w:rsid w:val="001B23ED"/>
    <w:rsid w:val="001B2550"/>
    <w:rsid w:val="001B277B"/>
    <w:rsid w:val="001B2D0F"/>
    <w:rsid w:val="001B3118"/>
    <w:rsid w:val="001B33F3"/>
    <w:rsid w:val="001B39AD"/>
    <w:rsid w:val="001B3A09"/>
    <w:rsid w:val="001B3C70"/>
    <w:rsid w:val="001B4386"/>
    <w:rsid w:val="001B4618"/>
    <w:rsid w:val="001B4718"/>
    <w:rsid w:val="001B5029"/>
    <w:rsid w:val="001B5712"/>
    <w:rsid w:val="001B6010"/>
    <w:rsid w:val="001B6074"/>
    <w:rsid w:val="001B6511"/>
    <w:rsid w:val="001B65C3"/>
    <w:rsid w:val="001B697A"/>
    <w:rsid w:val="001B6D67"/>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CA9"/>
    <w:rsid w:val="001C45EE"/>
    <w:rsid w:val="001C488F"/>
    <w:rsid w:val="001C49CB"/>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921"/>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89C"/>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D51"/>
    <w:rsid w:val="001E20CF"/>
    <w:rsid w:val="001E215B"/>
    <w:rsid w:val="001E2196"/>
    <w:rsid w:val="001E21ED"/>
    <w:rsid w:val="001E23D0"/>
    <w:rsid w:val="001E26C1"/>
    <w:rsid w:val="001E28B7"/>
    <w:rsid w:val="001E2986"/>
    <w:rsid w:val="001E2B0A"/>
    <w:rsid w:val="001E2DE5"/>
    <w:rsid w:val="001E337E"/>
    <w:rsid w:val="001E3951"/>
    <w:rsid w:val="001E3D83"/>
    <w:rsid w:val="001E3F6F"/>
    <w:rsid w:val="001E4342"/>
    <w:rsid w:val="001E489D"/>
    <w:rsid w:val="001E4E25"/>
    <w:rsid w:val="001E5D71"/>
    <w:rsid w:val="001E5F38"/>
    <w:rsid w:val="001E6C8E"/>
    <w:rsid w:val="001E710D"/>
    <w:rsid w:val="001E74F8"/>
    <w:rsid w:val="001E76DB"/>
    <w:rsid w:val="001E7A53"/>
    <w:rsid w:val="001E7CF1"/>
    <w:rsid w:val="001F0AAC"/>
    <w:rsid w:val="001F0EDC"/>
    <w:rsid w:val="001F0F33"/>
    <w:rsid w:val="001F1A9E"/>
    <w:rsid w:val="001F1B03"/>
    <w:rsid w:val="001F1B42"/>
    <w:rsid w:val="001F2173"/>
    <w:rsid w:val="001F231C"/>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CFF"/>
    <w:rsid w:val="00206564"/>
    <w:rsid w:val="002065C1"/>
    <w:rsid w:val="002065E4"/>
    <w:rsid w:val="002066BC"/>
    <w:rsid w:val="00206930"/>
    <w:rsid w:val="0020699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245"/>
    <w:rsid w:val="0021750E"/>
    <w:rsid w:val="00217603"/>
    <w:rsid w:val="00217765"/>
    <w:rsid w:val="002178F2"/>
    <w:rsid w:val="00217A7C"/>
    <w:rsid w:val="00220253"/>
    <w:rsid w:val="0022025D"/>
    <w:rsid w:val="002202A7"/>
    <w:rsid w:val="00220703"/>
    <w:rsid w:val="0022089E"/>
    <w:rsid w:val="00220DEA"/>
    <w:rsid w:val="00221520"/>
    <w:rsid w:val="0022157E"/>
    <w:rsid w:val="002215F5"/>
    <w:rsid w:val="0022177B"/>
    <w:rsid w:val="002218B4"/>
    <w:rsid w:val="00221BCD"/>
    <w:rsid w:val="00222055"/>
    <w:rsid w:val="00222434"/>
    <w:rsid w:val="002227B3"/>
    <w:rsid w:val="00222F1A"/>
    <w:rsid w:val="002230C3"/>
    <w:rsid w:val="00223687"/>
    <w:rsid w:val="00223CB4"/>
    <w:rsid w:val="00224003"/>
    <w:rsid w:val="002240A5"/>
    <w:rsid w:val="00224225"/>
    <w:rsid w:val="00224A49"/>
    <w:rsid w:val="00224CCD"/>
    <w:rsid w:val="0022566B"/>
    <w:rsid w:val="00225821"/>
    <w:rsid w:val="00225BD7"/>
    <w:rsid w:val="00226406"/>
    <w:rsid w:val="00226616"/>
    <w:rsid w:val="00226665"/>
    <w:rsid w:val="002266BB"/>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F9"/>
    <w:rsid w:val="00231ADC"/>
    <w:rsid w:val="00232020"/>
    <w:rsid w:val="00232194"/>
    <w:rsid w:val="00232280"/>
    <w:rsid w:val="002323C2"/>
    <w:rsid w:val="00232956"/>
    <w:rsid w:val="00232CDC"/>
    <w:rsid w:val="00232D74"/>
    <w:rsid w:val="00232F0A"/>
    <w:rsid w:val="00233037"/>
    <w:rsid w:val="0023359B"/>
    <w:rsid w:val="00233B29"/>
    <w:rsid w:val="00233F53"/>
    <w:rsid w:val="00234292"/>
    <w:rsid w:val="002342D5"/>
    <w:rsid w:val="0023465A"/>
    <w:rsid w:val="00234A7C"/>
    <w:rsid w:val="00234C49"/>
    <w:rsid w:val="00234F38"/>
    <w:rsid w:val="00235BC7"/>
    <w:rsid w:val="00235DA4"/>
    <w:rsid w:val="002362B3"/>
    <w:rsid w:val="002363F7"/>
    <w:rsid w:val="00236662"/>
    <w:rsid w:val="00236722"/>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731F"/>
    <w:rsid w:val="0024783B"/>
    <w:rsid w:val="00247C18"/>
    <w:rsid w:val="00247C80"/>
    <w:rsid w:val="00247E7B"/>
    <w:rsid w:val="00250446"/>
    <w:rsid w:val="00250E15"/>
    <w:rsid w:val="00250EB0"/>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4FF"/>
    <w:rsid w:val="00263574"/>
    <w:rsid w:val="00263A58"/>
    <w:rsid w:val="00263ACD"/>
    <w:rsid w:val="00263B9F"/>
    <w:rsid w:val="002640C7"/>
    <w:rsid w:val="00264218"/>
    <w:rsid w:val="002642E2"/>
    <w:rsid w:val="002649BF"/>
    <w:rsid w:val="00264B8D"/>
    <w:rsid w:val="00264C34"/>
    <w:rsid w:val="0026543A"/>
    <w:rsid w:val="0026548F"/>
    <w:rsid w:val="00265492"/>
    <w:rsid w:val="00265898"/>
    <w:rsid w:val="00265969"/>
    <w:rsid w:val="002659D4"/>
    <w:rsid w:val="00265A58"/>
    <w:rsid w:val="002660D6"/>
    <w:rsid w:val="00266102"/>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1B1"/>
    <w:rsid w:val="002763FC"/>
    <w:rsid w:val="00276600"/>
    <w:rsid w:val="0027704B"/>
    <w:rsid w:val="002772A9"/>
    <w:rsid w:val="00277394"/>
    <w:rsid w:val="0027743B"/>
    <w:rsid w:val="00277481"/>
    <w:rsid w:val="0027770E"/>
    <w:rsid w:val="002778B7"/>
    <w:rsid w:val="00277B9E"/>
    <w:rsid w:val="00277BB3"/>
    <w:rsid w:val="00277BC5"/>
    <w:rsid w:val="00277DF8"/>
    <w:rsid w:val="00277EB1"/>
    <w:rsid w:val="0028087B"/>
    <w:rsid w:val="00280D6B"/>
    <w:rsid w:val="00281044"/>
    <w:rsid w:val="002812D8"/>
    <w:rsid w:val="00281640"/>
    <w:rsid w:val="00281B5A"/>
    <w:rsid w:val="002831E8"/>
    <w:rsid w:val="002835FB"/>
    <w:rsid w:val="002836D7"/>
    <w:rsid w:val="00283A15"/>
    <w:rsid w:val="00283FDC"/>
    <w:rsid w:val="00284285"/>
    <w:rsid w:val="002843D8"/>
    <w:rsid w:val="002844A3"/>
    <w:rsid w:val="0028478E"/>
    <w:rsid w:val="00284E20"/>
    <w:rsid w:val="00284EB9"/>
    <w:rsid w:val="00285149"/>
    <w:rsid w:val="00285826"/>
    <w:rsid w:val="00285C5A"/>
    <w:rsid w:val="00285CB0"/>
    <w:rsid w:val="00285E4F"/>
    <w:rsid w:val="00286010"/>
    <w:rsid w:val="00286430"/>
    <w:rsid w:val="00286618"/>
    <w:rsid w:val="00286672"/>
    <w:rsid w:val="00286E63"/>
    <w:rsid w:val="00287016"/>
    <w:rsid w:val="00287373"/>
    <w:rsid w:val="00287A8E"/>
    <w:rsid w:val="00287F24"/>
    <w:rsid w:val="0029074D"/>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1C70"/>
    <w:rsid w:val="002A2496"/>
    <w:rsid w:val="002A2659"/>
    <w:rsid w:val="002A2909"/>
    <w:rsid w:val="002A2EA8"/>
    <w:rsid w:val="002A3198"/>
    <w:rsid w:val="002A3255"/>
    <w:rsid w:val="002A3325"/>
    <w:rsid w:val="002A3361"/>
    <w:rsid w:val="002A3520"/>
    <w:rsid w:val="002A37C0"/>
    <w:rsid w:val="002A3DC8"/>
    <w:rsid w:val="002A3E2E"/>
    <w:rsid w:val="002A3F51"/>
    <w:rsid w:val="002A43B7"/>
    <w:rsid w:val="002A43F3"/>
    <w:rsid w:val="002A4579"/>
    <w:rsid w:val="002A4687"/>
    <w:rsid w:val="002A48ED"/>
    <w:rsid w:val="002A4AFA"/>
    <w:rsid w:val="002A4C92"/>
    <w:rsid w:val="002A4FB7"/>
    <w:rsid w:val="002A5106"/>
    <w:rsid w:val="002A5441"/>
    <w:rsid w:val="002A5DAB"/>
    <w:rsid w:val="002A5EE2"/>
    <w:rsid w:val="002A612E"/>
    <w:rsid w:val="002A614A"/>
    <w:rsid w:val="002A67D3"/>
    <w:rsid w:val="002A690F"/>
    <w:rsid w:val="002A6D46"/>
    <w:rsid w:val="002B0120"/>
    <w:rsid w:val="002B02F4"/>
    <w:rsid w:val="002B03CA"/>
    <w:rsid w:val="002B0666"/>
    <w:rsid w:val="002B13A2"/>
    <w:rsid w:val="002B1BB7"/>
    <w:rsid w:val="002B1FE3"/>
    <w:rsid w:val="002B2418"/>
    <w:rsid w:val="002B27C5"/>
    <w:rsid w:val="002B2842"/>
    <w:rsid w:val="002B28B3"/>
    <w:rsid w:val="002B2E0C"/>
    <w:rsid w:val="002B3151"/>
    <w:rsid w:val="002B325E"/>
    <w:rsid w:val="002B3439"/>
    <w:rsid w:val="002B3503"/>
    <w:rsid w:val="002B366D"/>
    <w:rsid w:val="002B38E7"/>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217"/>
    <w:rsid w:val="002C03A2"/>
    <w:rsid w:val="002C0B42"/>
    <w:rsid w:val="002C0B74"/>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5B"/>
    <w:rsid w:val="002C32F5"/>
    <w:rsid w:val="002C3507"/>
    <w:rsid w:val="002C36EF"/>
    <w:rsid w:val="002C3716"/>
    <w:rsid w:val="002C3B92"/>
    <w:rsid w:val="002C47C3"/>
    <w:rsid w:val="002C47F4"/>
    <w:rsid w:val="002C480F"/>
    <w:rsid w:val="002C4850"/>
    <w:rsid w:val="002C490E"/>
    <w:rsid w:val="002C4FEF"/>
    <w:rsid w:val="002C52E3"/>
    <w:rsid w:val="002C58E9"/>
    <w:rsid w:val="002C62AE"/>
    <w:rsid w:val="002C65B9"/>
    <w:rsid w:val="002C67A3"/>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C3"/>
    <w:rsid w:val="002D3DF6"/>
    <w:rsid w:val="002D3E18"/>
    <w:rsid w:val="002D3F1E"/>
    <w:rsid w:val="002D429A"/>
    <w:rsid w:val="002D4716"/>
    <w:rsid w:val="002D471F"/>
    <w:rsid w:val="002D4AD2"/>
    <w:rsid w:val="002D4B2B"/>
    <w:rsid w:val="002D4E81"/>
    <w:rsid w:val="002D51E7"/>
    <w:rsid w:val="002D57D0"/>
    <w:rsid w:val="002D5C6C"/>
    <w:rsid w:val="002D5FA6"/>
    <w:rsid w:val="002D63D6"/>
    <w:rsid w:val="002D64C8"/>
    <w:rsid w:val="002D6668"/>
    <w:rsid w:val="002D6970"/>
    <w:rsid w:val="002D699D"/>
    <w:rsid w:val="002D6AD5"/>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64F"/>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59B"/>
    <w:rsid w:val="002F07BC"/>
    <w:rsid w:val="002F093A"/>
    <w:rsid w:val="002F0C91"/>
    <w:rsid w:val="002F1743"/>
    <w:rsid w:val="002F1ACA"/>
    <w:rsid w:val="002F1C64"/>
    <w:rsid w:val="002F1E7D"/>
    <w:rsid w:val="002F1ED8"/>
    <w:rsid w:val="002F214A"/>
    <w:rsid w:val="002F2479"/>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BEE"/>
    <w:rsid w:val="002F5C07"/>
    <w:rsid w:val="002F5D7B"/>
    <w:rsid w:val="002F637B"/>
    <w:rsid w:val="002F63A1"/>
    <w:rsid w:val="002F6996"/>
    <w:rsid w:val="002F6BCF"/>
    <w:rsid w:val="002F6CC3"/>
    <w:rsid w:val="002F70D1"/>
    <w:rsid w:val="002F714C"/>
    <w:rsid w:val="002F7247"/>
    <w:rsid w:val="002F7396"/>
    <w:rsid w:val="002F7820"/>
    <w:rsid w:val="002F7D1D"/>
    <w:rsid w:val="002F7D6A"/>
    <w:rsid w:val="002F7EAE"/>
    <w:rsid w:val="002F7F7D"/>
    <w:rsid w:val="003001F6"/>
    <w:rsid w:val="00300360"/>
    <w:rsid w:val="003003AD"/>
    <w:rsid w:val="00300A78"/>
    <w:rsid w:val="00300EB7"/>
    <w:rsid w:val="00300EEF"/>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413"/>
    <w:rsid w:val="00312B61"/>
    <w:rsid w:val="00312EF7"/>
    <w:rsid w:val="003130BC"/>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881"/>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653"/>
    <w:rsid w:val="00330AA6"/>
    <w:rsid w:val="00330DF8"/>
    <w:rsid w:val="00331215"/>
    <w:rsid w:val="00331347"/>
    <w:rsid w:val="0033136D"/>
    <w:rsid w:val="00331579"/>
    <w:rsid w:val="003315F5"/>
    <w:rsid w:val="003316A2"/>
    <w:rsid w:val="003316C1"/>
    <w:rsid w:val="00331C48"/>
    <w:rsid w:val="0033259E"/>
    <w:rsid w:val="0033312D"/>
    <w:rsid w:val="0033332A"/>
    <w:rsid w:val="00333386"/>
    <w:rsid w:val="00333AD3"/>
    <w:rsid w:val="00333B13"/>
    <w:rsid w:val="00333D63"/>
    <w:rsid w:val="00334277"/>
    <w:rsid w:val="003343D9"/>
    <w:rsid w:val="003344FB"/>
    <w:rsid w:val="0033480A"/>
    <w:rsid w:val="00334AD7"/>
    <w:rsid w:val="00334BBA"/>
    <w:rsid w:val="00334FE3"/>
    <w:rsid w:val="0033517D"/>
    <w:rsid w:val="0033552F"/>
    <w:rsid w:val="00335935"/>
    <w:rsid w:val="003359D5"/>
    <w:rsid w:val="003359D7"/>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0FA0"/>
    <w:rsid w:val="00341026"/>
    <w:rsid w:val="003413C9"/>
    <w:rsid w:val="003414A1"/>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3D8B"/>
    <w:rsid w:val="00354126"/>
    <w:rsid w:val="0035418D"/>
    <w:rsid w:val="00354379"/>
    <w:rsid w:val="00354A66"/>
    <w:rsid w:val="00354E75"/>
    <w:rsid w:val="00355440"/>
    <w:rsid w:val="003555CE"/>
    <w:rsid w:val="003557DF"/>
    <w:rsid w:val="003559D7"/>
    <w:rsid w:val="00355AE1"/>
    <w:rsid w:val="00355B12"/>
    <w:rsid w:val="00356116"/>
    <w:rsid w:val="00356389"/>
    <w:rsid w:val="00356A32"/>
    <w:rsid w:val="00356BA5"/>
    <w:rsid w:val="003575D3"/>
    <w:rsid w:val="00357800"/>
    <w:rsid w:val="003578F0"/>
    <w:rsid w:val="00357B4C"/>
    <w:rsid w:val="00357C2B"/>
    <w:rsid w:val="00357F1E"/>
    <w:rsid w:val="003604FB"/>
    <w:rsid w:val="0036053C"/>
    <w:rsid w:val="003609DE"/>
    <w:rsid w:val="00360A39"/>
    <w:rsid w:val="00360D63"/>
    <w:rsid w:val="00360E25"/>
    <w:rsid w:val="00361159"/>
    <w:rsid w:val="0036155D"/>
    <w:rsid w:val="0036161D"/>
    <w:rsid w:val="00361C3E"/>
    <w:rsid w:val="00361DE4"/>
    <w:rsid w:val="00361E53"/>
    <w:rsid w:val="003621A2"/>
    <w:rsid w:val="00362206"/>
    <w:rsid w:val="00362520"/>
    <w:rsid w:val="003626FF"/>
    <w:rsid w:val="0036277B"/>
    <w:rsid w:val="00362A24"/>
    <w:rsid w:val="00362A31"/>
    <w:rsid w:val="00362AA4"/>
    <w:rsid w:val="003635AE"/>
    <w:rsid w:val="0036390D"/>
    <w:rsid w:val="00363F61"/>
    <w:rsid w:val="00364242"/>
    <w:rsid w:val="00364499"/>
    <w:rsid w:val="00364BBE"/>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213"/>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B98"/>
    <w:rsid w:val="00372E9E"/>
    <w:rsid w:val="0037336A"/>
    <w:rsid w:val="003733F5"/>
    <w:rsid w:val="00373766"/>
    <w:rsid w:val="00373912"/>
    <w:rsid w:val="00373CC9"/>
    <w:rsid w:val="00373E17"/>
    <w:rsid w:val="00373FD0"/>
    <w:rsid w:val="003742EF"/>
    <w:rsid w:val="00374614"/>
    <w:rsid w:val="00374BC7"/>
    <w:rsid w:val="00375274"/>
    <w:rsid w:val="003752AD"/>
    <w:rsid w:val="003754FE"/>
    <w:rsid w:val="003756F8"/>
    <w:rsid w:val="0037643F"/>
    <w:rsid w:val="00376DE3"/>
    <w:rsid w:val="00376EC9"/>
    <w:rsid w:val="00377675"/>
    <w:rsid w:val="00377D20"/>
    <w:rsid w:val="00377F85"/>
    <w:rsid w:val="003800A6"/>
    <w:rsid w:val="00380775"/>
    <w:rsid w:val="00380EBD"/>
    <w:rsid w:val="00380FB8"/>
    <w:rsid w:val="003810F9"/>
    <w:rsid w:val="003810FC"/>
    <w:rsid w:val="003812E9"/>
    <w:rsid w:val="00381796"/>
    <w:rsid w:val="00381967"/>
    <w:rsid w:val="00381A5B"/>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93D"/>
    <w:rsid w:val="00390A3F"/>
    <w:rsid w:val="00390D36"/>
    <w:rsid w:val="00390F68"/>
    <w:rsid w:val="00390F7D"/>
    <w:rsid w:val="00391047"/>
    <w:rsid w:val="00391227"/>
    <w:rsid w:val="00391453"/>
    <w:rsid w:val="003914C7"/>
    <w:rsid w:val="00391583"/>
    <w:rsid w:val="003917C1"/>
    <w:rsid w:val="00391B19"/>
    <w:rsid w:val="003932C0"/>
    <w:rsid w:val="00393F37"/>
    <w:rsid w:val="0039404A"/>
    <w:rsid w:val="0039411C"/>
    <w:rsid w:val="00394483"/>
    <w:rsid w:val="003944F8"/>
    <w:rsid w:val="00394D1E"/>
    <w:rsid w:val="00394E6F"/>
    <w:rsid w:val="00395111"/>
    <w:rsid w:val="00395329"/>
    <w:rsid w:val="00395343"/>
    <w:rsid w:val="003954D6"/>
    <w:rsid w:val="00395566"/>
    <w:rsid w:val="003958AD"/>
    <w:rsid w:val="003958CA"/>
    <w:rsid w:val="00395AFA"/>
    <w:rsid w:val="00395D39"/>
    <w:rsid w:val="00396064"/>
    <w:rsid w:val="00396097"/>
    <w:rsid w:val="003960A6"/>
    <w:rsid w:val="00396C66"/>
    <w:rsid w:val="00397175"/>
    <w:rsid w:val="0039732A"/>
    <w:rsid w:val="00397399"/>
    <w:rsid w:val="003974C6"/>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A52"/>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5EA4"/>
    <w:rsid w:val="003C63B4"/>
    <w:rsid w:val="003C63CF"/>
    <w:rsid w:val="003C655E"/>
    <w:rsid w:val="003C66B0"/>
    <w:rsid w:val="003C67D0"/>
    <w:rsid w:val="003C6A7A"/>
    <w:rsid w:val="003C6E8E"/>
    <w:rsid w:val="003C7078"/>
    <w:rsid w:val="003C7162"/>
    <w:rsid w:val="003C7265"/>
    <w:rsid w:val="003C76E2"/>
    <w:rsid w:val="003C796F"/>
    <w:rsid w:val="003C7C8E"/>
    <w:rsid w:val="003C7E15"/>
    <w:rsid w:val="003D05C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8FC"/>
    <w:rsid w:val="003D6AE2"/>
    <w:rsid w:val="003D6AE5"/>
    <w:rsid w:val="003D6DAD"/>
    <w:rsid w:val="003D6E5B"/>
    <w:rsid w:val="003D6E90"/>
    <w:rsid w:val="003D79E8"/>
    <w:rsid w:val="003D7AA9"/>
    <w:rsid w:val="003D7F41"/>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10D9"/>
    <w:rsid w:val="00401378"/>
    <w:rsid w:val="00401C05"/>
    <w:rsid w:val="00401CE7"/>
    <w:rsid w:val="00402386"/>
    <w:rsid w:val="00402512"/>
    <w:rsid w:val="004025F9"/>
    <w:rsid w:val="004026FC"/>
    <w:rsid w:val="00402CC2"/>
    <w:rsid w:val="00402E75"/>
    <w:rsid w:val="00402F4E"/>
    <w:rsid w:val="00403157"/>
    <w:rsid w:val="00403286"/>
    <w:rsid w:val="00403980"/>
    <w:rsid w:val="00403BAD"/>
    <w:rsid w:val="00403D23"/>
    <w:rsid w:val="00403F08"/>
    <w:rsid w:val="004040BF"/>
    <w:rsid w:val="0040428F"/>
    <w:rsid w:val="00404290"/>
    <w:rsid w:val="00404526"/>
    <w:rsid w:val="004046B0"/>
    <w:rsid w:val="0040473C"/>
    <w:rsid w:val="00404761"/>
    <w:rsid w:val="00404C66"/>
    <w:rsid w:val="0040526A"/>
    <w:rsid w:val="00405829"/>
    <w:rsid w:val="00405AD3"/>
    <w:rsid w:val="00405D37"/>
    <w:rsid w:val="004061F1"/>
    <w:rsid w:val="004064F0"/>
    <w:rsid w:val="0040679D"/>
    <w:rsid w:val="004069E9"/>
    <w:rsid w:val="00406B2E"/>
    <w:rsid w:val="00406CCC"/>
    <w:rsid w:val="004075AA"/>
    <w:rsid w:val="00407771"/>
    <w:rsid w:val="00407E90"/>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86B"/>
    <w:rsid w:val="00416998"/>
    <w:rsid w:val="00416B37"/>
    <w:rsid w:val="00416D1A"/>
    <w:rsid w:val="00416FA9"/>
    <w:rsid w:val="004175EA"/>
    <w:rsid w:val="004177F1"/>
    <w:rsid w:val="0042057D"/>
    <w:rsid w:val="00421A16"/>
    <w:rsid w:val="00421B9E"/>
    <w:rsid w:val="00422199"/>
    <w:rsid w:val="00422676"/>
    <w:rsid w:val="00422E66"/>
    <w:rsid w:val="00423279"/>
    <w:rsid w:val="004234A2"/>
    <w:rsid w:val="00423593"/>
    <w:rsid w:val="004238B6"/>
    <w:rsid w:val="00423E45"/>
    <w:rsid w:val="004245BE"/>
    <w:rsid w:val="004245F7"/>
    <w:rsid w:val="0042495D"/>
    <w:rsid w:val="00424AEC"/>
    <w:rsid w:val="00424F84"/>
    <w:rsid w:val="00424FE8"/>
    <w:rsid w:val="0042514E"/>
    <w:rsid w:val="0042569F"/>
    <w:rsid w:val="00425AEC"/>
    <w:rsid w:val="00426020"/>
    <w:rsid w:val="00426102"/>
    <w:rsid w:val="004263E7"/>
    <w:rsid w:val="0042652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91E"/>
    <w:rsid w:val="00443FA4"/>
    <w:rsid w:val="0044451E"/>
    <w:rsid w:val="00444628"/>
    <w:rsid w:val="00444639"/>
    <w:rsid w:val="0044467C"/>
    <w:rsid w:val="00444717"/>
    <w:rsid w:val="00445CE1"/>
    <w:rsid w:val="0044626C"/>
    <w:rsid w:val="00446948"/>
    <w:rsid w:val="00446972"/>
    <w:rsid w:val="0044698B"/>
    <w:rsid w:val="004469B4"/>
    <w:rsid w:val="00446BE5"/>
    <w:rsid w:val="00446E4D"/>
    <w:rsid w:val="00447260"/>
    <w:rsid w:val="0044748C"/>
    <w:rsid w:val="00447566"/>
    <w:rsid w:val="004478E5"/>
    <w:rsid w:val="00447A7E"/>
    <w:rsid w:val="00447EB4"/>
    <w:rsid w:val="004502C1"/>
    <w:rsid w:val="00450357"/>
    <w:rsid w:val="004503DF"/>
    <w:rsid w:val="004507B4"/>
    <w:rsid w:val="004509E5"/>
    <w:rsid w:val="00450BD5"/>
    <w:rsid w:val="00450BF1"/>
    <w:rsid w:val="00450CDA"/>
    <w:rsid w:val="00450F6A"/>
    <w:rsid w:val="00450FCC"/>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4B6"/>
    <w:rsid w:val="0046474C"/>
    <w:rsid w:val="00464A28"/>
    <w:rsid w:val="00464BBF"/>
    <w:rsid w:val="004654E7"/>
    <w:rsid w:val="0046565E"/>
    <w:rsid w:val="00465A81"/>
    <w:rsid w:val="00465FA3"/>
    <w:rsid w:val="004664AC"/>
    <w:rsid w:val="004666BB"/>
    <w:rsid w:val="004668F3"/>
    <w:rsid w:val="00466A82"/>
    <w:rsid w:val="00466CCE"/>
    <w:rsid w:val="00466F7F"/>
    <w:rsid w:val="00467399"/>
    <w:rsid w:val="004674FA"/>
    <w:rsid w:val="00467C5F"/>
    <w:rsid w:val="00470539"/>
    <w:rsid w:val="0047079F"/>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AC0"/>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2C54"/>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97ED6"/>
    <w:rsid w:val="004A00D5"/>
    <w:rsid w:val="004A06A8"/>
    <w:rsid w:val="004A0776"/>
    <w:rsid w:val="004A0959"/>
    <w:rsid w:val="004A0B7A"/>
    <w:rsid w:val="004A0B8B"/>
    <w:rsid w:val="004A16EB"/>
    <w:rsid w:val="004A18FA"/>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F2D"/>
    <w:rsid w:val="004A6788"/>
    <w:rsid w:val="004A6A1E"/>
    <w:rsid w:val="004A6BA8"/>
    <w:rsid w:val="004A6F45"/>
    <w:rsid w:val="004A701E"/>
    <w:rsid w:val="004A7023"/>
    <w:rsid w:val="004A70F1"/>
    <w:rsid w:val="004A711A"/>
    <w:rsid w:val="004A72C4"/>
    <w:rsid w:val="004A730B"/>
    <w:rsid w:val="004A7467"/>
    <w:rsid w:val="004A792B"/>
    <w:rsid w:val="004A7BE4"/>
    <w:rsid w:val="004A7C6B"/>
    <w:rsid w:val="004A7ECD"/>
    <w:rsid w:val="004B0567"/>
    <w:rsid w:val="004B059F"/>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4AC4"/>
    <w:rsid w:val="004B53B4"/>
    <w:rsid w:val="004B5A36"/>
    <w:rsid w:val="004B5E81"/>
    <w:rsid w:val="004B62DE"/>
    <w:rsid w:val="004B6A02"/>
    <w:rsid w:val="004B6B26"/>
    <w:rsid w:val="004B74E0"/>
    <w:rsid w:val="004B757C"/>
    <w:rsid w:val="004B78B8"/>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49E"/>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C54"/>
    <w:rsid w:val="004D7FE7"/>
    <w:rsid w:val="004E00B5"/>
    <w:rsid w:val="004E03F3"/>
    <w:rsid w:val="004E05B6"/>
    <w:rsid w:val="004E09D9"/>
    <w:rsid w:val="004E0AF3"/>
    <w:rsid w:val="004E10CD"/>
    <w:rsid w:val="004E1516"/>
    <w:rsid w:val="004E1B49"/>
    <w:rsid w:val="004E1F5E"/>
    <w:rsid w:val="004E1FA4"/>
    <w:rsid w:val="004E29A2"/>
    <w:rsid w:val="004E2C8A"/>
    <w:rsid w:val="004E2EA4"/>
    <w:rsid w:val="004E335B"/>
    <w:rsid w:val="004E3361"/>
    <w:rsid w:val="004E366C"/>
    <w:rsid w:val="004E36AD"/>
    <w:rsid w:val="004E36EC"/>
    <w:rsid w:val="004E3E14"/>
    <w:rsid w:val="004E4150"/>
    <w:rsid w:val="004E43D6"/>
    <w:rsid w:val="004E4A34"/>
    <w:rsid w:val="004E4E58"/>
    <w:rsid w:val="004E53D3"/>
    <w:rsid w:val="004E557C"/>
    <w:rsid w:val="004E5605"/>
    <w:rsid w:val="004E5A1D"/>
    <w:rsid w:val="004E5C99"/>
    <w:rsid w:val="004E630E"/>
    <w:rsid w:val="004E6328"/>
    <w:rsid w:val="004E6462"/>
    <w:rsid w:val="004E68B5"/>
    <w:rsid w:val="004E716D"/>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459A"/>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EA7"/>
    <w:rsid w:val="0050702F"/>
    <w:rsid w:val="0050738C"/>
    <w:rsid w:val="005074D6"/>
    <w:rsid w:val="005078EF"/>
    <w:rsid w:val="00510527"/>
    <w:rsid w:val="0051097F"/>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5BB"/>
    <w:rsid w:val="00524637"/>
    <w:rsid w:val="00524749"/>
    <w:rsid w:val="00524986"/>
    <w:rsid w:val="005255C4"/>
    <w:rsid w:val="005255C7"/>
    <w:rsid w:val="00525ECF"/>
    <w:rsid w:val="00526563"/>
    <w:rsid w:val="0052723E"/>
    <w:rsid w:val="00527494"/>
    <w:rsid w:val="0052786B"/>
    <w:rsid w:val="00527CCD"/>
    <w:rsid w:val="0053028A"/>
    <w:rsid w:val="005306AB"/>
    <w:rsid w:val="00530A96"/>
    <w:rsid w:val="00530E48"/>
    <w:rsid w:val="005310CC"/>
    <w:rsid w:val="005315CD"/>
    <w:rsid w:val="005318FF"/>
    <w:rsid w:val="0053193C"/>
    <w:rsid w:val="00531C08"/>
    <w:rsid w:val="00531E6A"/>
    <w:rsid w:val="00532092"/>
    <w:rsid w:val="0053223E"/>
    <w:rsid w:val="00532266"/>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5B0"/>
    <w:rsid w:val="00536636"/>
    <w:rsid w:val="00536733"/>
    <w:rsid w:val="0053676A"/>
    <w:rsid w:val="00536AB3"/>
    <w:rsid w:val="00536C00"/>
    <w:rsid w:val="005371B5"/>
    <w:rsid w:val="00537381"/>
    <w:rsid w:val="005373D2"/>
    <w:rsid w:val="005377EE"/>
    <w:rsid w:val="005378EA"/>
    <w:rsid w:val="00537B22"/>
    <w:rsid w:val="00537D21"/>
    <w:rsid w:val="005401D8"/>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EA4"/>
    <w:rsid w:val="00544577"/>
    <w:rsid w:val="005448A0"/>
    <w:rsid w:val="00544A27"/>
    <w:rsid w:val="00544A71"/>
    <w:rsid w:val="00544D19"/>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D66"/>
    <w:rsid w:val="00555E1B"/>
    <w:rsid w:val="00556130"/>
    <w:rsid w:val="00556D23"/>
    <w:rsid w:val="00556E01"/>
    <w:rsid w:val="00557118"/>
    <w:rsid w:val="0055738C"/>
    <w:rsid w:val="005601E7"/>
    <w:rsid w:val="005604A8"/>
    <w:rsid w:val="00560566"/>
    <w:rsid w:val="005608C4"/>
    <w:rsid w:val="00560993"/>
    <w:rsid w:val="0056123B"/>
    <w:rsid w:val="005613C2"/>
    <w:rsid w:val="005613CB"/>
    <w:rsid w:val="005617BA"/>
    <w:rsid w:val="00561E55"/>
    <w:rsid w:val="00561F17"/>
    <w:rsid w:val="00562125"/>
    <w:rsid w:val="005624D7"/>
    <w:rsid w:val="005624F5"/>
    <w:rsid w:val="00562558"/>
    <w:rsid w:val="00562B47"/>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4FB"/>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11A"/>
    <w:rsid w:val="0057365F"/>
    <w:rsid w:val="005736A8"/>
    <w:rsid w:val="005740B7"/>
    <w:rsid w:val="0057469F"/>
    <w:rsid w:val="00574AD4"/>
    <w:rsid w:val="00574AEB"/>
    <w:rsid w:val="00574B17"/>
    <w:rsid w:val="00575BB5"/>
    <w:rsid w:val="005761A2"/>
    <w:rsid w:val="00576ECB"/>
    <w:rsid w:val="00576F7A"/>
    <w:rsid w:val="00577567"/>
    <w:rsid w:val="00577E40"/>
    <w:rsid w:val="00580013"/>
    <w:rsid w:val="005808DC"/>
    <w:rsid w:val="0058093C"/>
    <w:rsid w:val="00581216"/>
    <w:rsid w:val="005813E8"/>
    <w:rsid w:val="005817C1"/>
    <w:rsid w:val="00581A9A"/>
    <w:rsid w:val="00581B94"/>
    <w:rsid w:val="00581C3E"/>
    <w:rsid w:val="00581ED7"/>
    <w:rsid w:val="00581F52"/>
    <w:rsid w:val="00582112"/>
    <w:rsid w:val="005822EB"/>
    <w:rsid w:val="0058266F"/>
    <w:rsid w:val="00582A83"/>
    <w:rsid w:val="00582D95"/>
    <w:rsid w:val="00582E9C"/>
    <w:rsid w:val="0058313C"/>
    <w:rsid w:val="005835F2"/>
    <w:rsid w:val="005838C6"/>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F68"/>
    <w:rsid w:val="00592045"/>
    <w:rsid w:val="005921A2"/>
    <w:rsid w:val="00592815"/>
    <w:rsid w:val="005929A8"/>
    <w:rsid w:val="005929EC"/>
    <w:rsid w:val="00592F6F"/>
    <w:rsid w:val="005945E4"/>
    <w:rsid w:val="00594E28"/>
    <w:rsid w:val="00594EC2"/>
    <w:rsid w:val="005953B3"/>
    <w:rsid w:val="00595851"/>
    <w:rsid w:val="00596200"/>
    <w:rsid w:val="005965FB"/>
    <w:rsid w:val="00596643"/>
    <w:rsid w:val="00596BD1"/>
    <w:rsid w:val="00596C9F"/>
    <w:rsid w:val="0059736D"/>
    <w:rsid w:val="005A026A"/>
    <w:rsid w:val="005A058A"/>
    <w:rsid w:val="005A0858"/>
    <w:rsid w:val="005A08A7"/>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505"/>
    <w:rsid w:val="005A37EB"/>
    <w:rsid w:val="005A38DC"/>
    <w:rsid w:val="005A3917"/>
    <w:rsid w:val="005A3A99"/>
    <w:rsid w:val="005A3AF8"/>
    <w:rsid w:val="005A40D4"/>
    <w:rsid w:val="005A4C73"/>
    <w:rsid w:val="005A4D68"/>
    <w:rsid w:val="005A4EAA"/>
    <w:rsid w:val="005A5906"/>
    <w:rsid w:val="005A6000"/>
    <w:rsid w:val="005A64D8"/>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9CF"/>
    <w:rsid w:val="005C1A0E"/>
    <w:rsid w:val="005C1A70"/>
    <w:rsid w:val="005C266F"/>
    <w:rsid w:val="005C2E3F"/>
    <w:rsid w:val="005C2E9F"/>
    <w:rsid w:val="005C2EB6"/>
    <w:rsid w:val="005C3078"/>
    <w:rsid w:val="005C3301"/>
    <w:rsid w:val="005C3C63"/>
    <w:rsid w:val="005C41B6"/>
    <w:rsid w:val="005C4722"/>
    <w:rsid w:val="005C48D0"/>
    <w:rsid w:val="005C4BA6"/>
    <w:rsid w:val="005C4E4F"/>
    <w:rsid w:val="005C5161"/>
    <w:rsid w:val="005C539F"/>
    <w:rsid w:val="005C5A4D"/>
    <w:rsid w:val="005C5F5C"/>
    <w:rsid w:val="005C61DE"/>
    <w:rsid w:val="005C6606"/>
    <w:rsid w:val="005C69FC"/>
    <w:rsid w:val="005C6F1F"/>
    <w:rsid w:val="005C70F2"/>
    <w:rsid w:val="005C7197"/>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815"/>
    <w:rsid w:val="005D5E53"/>
    <w:rsid w:val="005D5F2A"/>
    <w:rsid w:val="005D6128"/>
    <w:rsid w:val="005D63E0"/>
    <w:rsid w:val="005D6490"/>
    <w:rsid w:val="005D6740"/>
    <w:rsid w:val="005D69F9"/>
    <w:rsid w:val="005D6AF5"/>
    <w:rsid w:val="005D7306"/>
    <w:rsid w:val="005D76C0"/>
    <w:rsid w:val="005D7702"/>
    <w:rsid w:val="005D7B22"/>
    <w:rsid w:val="005D7BFA"/>
    <w:rsid w:val="005D7E53"/>
    <w:rsid w:val="005D7F86"/>
    <w:rsid w:val="005E028C"/>
    <w:rsid w:val="005E083D"/>
    <w:rsid w:val="005E0A42"/>
    <w:rsid w:val="005E0B7C"/>
    <w:rsid w:val="005E156D"/>
    <w:rsid w:val="005E16A4"/>
    <w:rsid w:val="005E178E"/>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4F1"/>
    <w:rsid w:val="005F259C"/>
    <w:rsid w:val="005F27DE"/>
    <w:rsid w:val="005F33A1"/>
    <w:rsid w:val="005F3525"/>
    <w:rsid w:val="005F3648"/>
    <w:rsid w:val="005F3B48"/>
    <w:rsid w:val="005F3BE3"/>
    <w:rsid w:val="005F3D37"/>
    <w:rsid w:val="005F3E93"/>
    <w:rsid w:val="005F4055"/>
    <w:rsid w:val="005F414F"/>
    <w:rsid w:val="005F4294"/>
    <w:rsid w:val="005F4862"/>
    <w:rsid w:val="005F492B"/>
    <w:rsid w:val="005F4F75"/>
    <w:rsid w:val="005F5042"/>
    <w:rsid w:val="005F5400"/>
    <w:rsid w:val="005F549C"/>
    <w:rsid w:val="005F5526"/>
    <w:rsid w:val="005F586C"/>
    <w:rsid w:val="005F59AE"/>
    <w:rsid w:val="005F5E44"/>
    <w:rsid w:val="005F616F"/>
    <w:rsid w:val="005F651F"/>
    <w:rsid w:val="005F67F3"/>
    <w:rsid w:val="005F68BC"/>
    <w:rsid w:val="005F6CE7"/>
    <w:rsid w:val="005F6D62"/>
    <w:rsid w:val="005F77FD"/>
    <w:rsid w:val="006000B9"/>
    <w:rsid w:val="00600185"/>
    <w:rsid w:val="006003F7"/>
    <w:rsid w:val="00600863"/>
    <w:rsid w:val="00600B73"/>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941"/>
    <w:rsid w:val="00605F24"/>
    <w:rsid w:val="00606011"/>
    <w:rsid w:val="006067BF"/>
    <w:rsid w:val="00606C5B"/>
    <w:rsid w:val="006071AB"/>
    <w:rsid w:val="006071D7"/>
    <w:rsid w:val="006075EC"/>
    <w:rsid w:val="006076FE"/>
    <w:rsid w:val="00607B85"/>
    <w:rsid w:val="00610628"/>
    <w:rsid w:val="006107CC"/>
    <w:rsid w:val="00610844"/>
    <w:rsid w:val="00610ACC"/>
    <w:rsid w:val="00610DA9"/>
    <w:rsid w:val="00610E7F"/>
    <w:rsid w:val="006116FA"/>
    <w:rsid w:val="00611856"/>
    <w:rsid w:val="00611A40"/>
    <w:rsid w:val="00611DF1"/>
    <w:rsid w:val="00611FD9"/>
    <w:rsid w:val="006125A0"/>
    <w:rsid w:val="00612849"/>
    <w:rsid w:val="00612BD3"/>
    <w:rsid w:val="00613280"/>
    <w:rsid w:val="0061362B"/>
    <w:rsid w:val="00613B77"/>
    <w:rsid w:val="00613BD0"/>
    <w:rsid w:val="00613C74"/>
    <w:rsid w:val="006142DB"/>
    <w:rsid w:val="0061441D"/>
    <w:rsid w:val="00614782"/>
    <w:rsid w:val="00615052"/>
    <w:rsid w:val="00615506"/>
    <w:rsid w:val="00616352"/>
    <w:rsid w:val="006166B4"/>
    <w:rsid w:val="00616B2F"/>
    <w:rsid w:val="00616B87"/>
    <w:rsid w:val="00616D3C"/>
    <w:rsid w:val="00616D78"/>
    <w:rsid w:val="00617058"/>
    <w:rsid w:val="006170BB"/>
    <w:rsid w:val="00617198"/>
    <w:rsid w:val="00617382"/>
    <w:rsid w:val="0061772E"/>
    <w:rsid w:val="00617836"/>
    <w:rsid w:val="00617884"/>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973"/>
    <w:rsid w:val="0062198C"/>
    <w:rsid w:val="00621B7B"/>
    <w:rsid w:val="00621EEE"/>
    <w:rsid w:val="00622415"/>
    <w:rsid w:val="00622548"/>
    <w:rsid w:val="00622B79"/>
    <w:rsid w:val="00622BF9"/>
    <w:rsid w:val="00623051"/>
    <w:rsid w:val="00623303"/>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F4D"/>
    <w:rsid w:val="00627C30"/>
    <w:rsid w:val="00627FF1"/>
    <w:rsid w:val="00630D3F"/>
    <w:rsid w:val="0063165D"/>
    <w:rsid w:val="00631698"/>
    <w:rsid w:val="0063174D"/>
    <w:rsid w:val="00631831"/>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0B"/>
    <w:rsid w:val="0063499F"/>
    <w:rsid w:val="00634CB1"/>
    <w:rsid w:val="00635212"/>
    <w:rsid w:val="006354ED"/>
    <w:rsid w:val="00635AD1"/>
    <w:rsid w:val="00635BB7"/>
    <w:rsid w:val="00635E57"/>
    <w:rsid w:val="00636271"/>
    <w:rsid w:val="006362D1"/>
    <w:rsid w:val="00636C58"/>
    <w:rsid w:val="00636CB3"/>
    <w:rsid w:val="00636FD0"/>
    <w:rsid w:val="006371A3"/>
    <w:rsid w:val="006372AE"/>
    <w:rsid w:val="00637506"/>
    <w:rsid w:val="0063788A"/>
    <w:rsid w:val="006378EF"/>
    <w:rsid w:val="00640037"/>
    <w:rsid w:val="00640499"/>
    <w:rsid w:val="0064065A"/>
    <w:rsid w:val="006406EE"/>
    <w:rsid w:val="00640819"/>
    <w:rsid w:val="0064148D"/>
    <w:rsid w:val="00641621"/>
    <w:rsid w:val="00641974"/>
    <w:rsid w:val="00641A97"/>
    <w:rsid w:val="0064203F"/>
    <w:rsid w:val="006423C5"/>
    <w:rsid w:val="00642B83"/>
    <w:rsid w:val="00642F0D"/>
    <w:rsid w:val="00642F24"/>
    <w:rsid w:val="0064356B"/>
    <w:rsid w:val="00643790"/>
    <w:rsid w:val="00643B98"/>
    <w:rsid w:val="00643D72"/>
    <w:rsid w:val="00643F10"/>
    <w:rsid w:val="00643F35"/>
    <w:rsid w:val="00643F39"/>
    <w:rsid w:val="006443C8"/>
    <w:rsid w:val="00644439"/>
    <w:rsid w:val="006446A9"/>
    <w:rsid w:val="0064488D"/>
    <w:rsid w:val="00644AA7"/>
    <w:rsid w:val="00644BA0"/>
    <w:rsid w:val="0064563C"/>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4E0"/>
    <w:rsid w:val="0065395B"/>
    <w:rsid w:val="006542DF"/>
    <w:rsid w:val="006543D2"/>
    <w:rsid w:val="0065485C"/>
    <w:rsid w:val="00654883"/>
    <w:rsid w:val="00654E29"/>
    <w:rsid w:val="00654F08"/>
    <w:rsid w:val="006550F0"/>
    <w:rsid w:val="006558D4"/>
    <w:rsid w:val="00655946"/>
    <w:rsid w:val="00655C39"/>
    <w:rsid w:val="00656203"/>
    <w:rsid w:val="00656599"/>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2E1B"/>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5FA5"/>
    <w:rsid w:val="00666010"/>
    <w:rsid w:val="006660A2"/>
    <w:rsid w:val="00666191"/>
    <w:rsid w:val="006664AF"/>
    <w:rsid w:val="006669D3"/>
    <w:rsid w:val="00666B45"/>
    <w:rsid w:val="00667136"/>
    <w:rsid w:val="00667249"/>
    <w:rsid w:val="00667265"/>
    <w:rsid w:val="006675B1"/>
    <w:rsid w:val="006679CA"/>
    <w:rsid w:val="00667C24"/>
    <w:rsid w:val="00670128"/>
    <w:rsid w:val="006704FC"/>
    <w:rsid w:val="006708B2"/>
    <w:rsid w:val="00670BD5"/>
    <w:rsid w:val="006716F4"/>
    <w:rsid w:val="00671785"/>
    <w:rsid w:val="006719D4"/>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7F4"/>
    <w:rsid w:val="00677B4F"/>
    <w:rsid w:val="00677EB2"/>
    <w:rsid w:val="0068057D"/>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388"/>
    <w:rsid w:val="006844BA"/>
    <w:rsid w:val="006846AC"/>
    <w:rsid w:val="00684D9F"/>
    <w:rsid w:val="00684DED"/>
    <w:rsid w:val="00684EF2"/>
    <w:rsid w:val="00685259"/>
    <w:rsid w:val="006852F8"/>
    <w:rsid w:val="00685510"/>
    <w:rsid w:val="0068602F"/>
    <w:rsid w:val="00686647"/>
    <w:rsid w:val="006870EB"/>
    <w:rsid w:val="00687885"/>
    <w:rsid w:val="0068797E"/>
    <w:rsid w:val="00687D84"/>
    <w:rsid w:val="006900E8"/>
    <w:rsid w:val="006909F6"/>
    <w:rsid w:val="00690F59"/>
    <w:rsid w:val="00691026"/>
    <w:rsid w:val="0069129A"/>
    <w:rsid w:val="0069171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752"/>
    <w:rsid w:val="00694927"/>
    <w:rsid w:val="006953FA"/>
    <w:rsid w:val="00695518"/>
    <w:rsid w:val="00695C34"/>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976"/>
    <w:rsid w:val="006A2BB7"/>
    <w:rsid w:val="006A2E04"/>
    <w:rsid w:val="006A2E7A"/>
    <w:rsid w:val="006A2ED4"/>
    <w:rsid w:val="006A3026"/>
    <w:rsid w:val="006A31C7"/>
    <w:rsid w:val="006A3BA8"/>
    <w:rsid w:val="006A3CB9"/>
    <w:rsid w:val="006A3DEA"/>
    <w:rsid w:val="006A3E45"/>
    <w:rsid w:val="006A4015"/>
    <w:rsid w:val="006A47ED"/>
    <w:rsid w:val="006A4E3C"/>
    <w:rsid w:val="006A4F88"/>
    <w:rsid w:val="006A5728"/>
    <w:rsid w:val="006A5A7D"/>
    <w:rsid w:val="006A5B18"/>
    <w:rsid w:val="006A5B77"/>
    <w:rsid w:val="006A5E21"/>
    <w:rsid w:val="006A6015"/>
    <w:rsid w:val="006A68A8"/>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C49"/>
    <w:rsid w:val="006B1EF3"/>
    <w:rsid w:val="006B2295"/>
    <w:rsid w:val="006B2477"/>
    <w:rsid w:val="006B2494"/>
    <w:rsid w:val="006B2542"/>
    <w:rsid w:val="006B27F1"/>
    <w:rsid w:val="006B2879"/>
    <w:rsid w:val="006B28D0"/>
    <w:rsid w:val="006B29B4"/>
    <w:rsid w:val="006B2E4C"/>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CEB"/>
    <w:rsid w:val="006B6DCB"/>
    <w:rsid w:val="006B6ED0"/>
    <w:rsid w:val="006B6EF1"/>
    <w:rsid w:val="006B7142"/>
    <w:rsid w:val="006B7225"/>
    <w:rsid w:val="006B75C1"/>
    <w:rsid w:val="006B79D1"/>
    <w:rsid w:val="006B7A1C"/>
    <w:rsid w:val="006C0126"/>
    <w:rsid w:val="006C0746"/>
    <w:rsid w:val="006C124C"/>
    <w:rsid w:val="006C1C07"/>
    <w:rsid w:val="006C1D30"/>
    <w:rsid w:val="006C2010"/>
    <w:rsid w:val="006C20B9"/>
    <w:rsid w:val="006C211E"/>
    <w:rsid w:val="006C2232"/>
    <w:rsid w:val="006C2436"/>
    <w:rsid w:val="006C256F"/>
    <w:rsid w:val="006C2698"/>
    <w:rsid w:val="006C2744"/>
    <w:rsid w:val="006C2948"/>
    <w:rsid w:val="006C3421"/>
    <w:rsid w:val="006C3572"/>
    <w:rsid w:val="006C3639"/>
    <w:rsid w:val="006C3B59"/>
    <w:rsid w:val="006C3E86"/>
    <w:rsid w:val="006C3EFE"/>
    <w:rsid w:val="006C417D"/>
    <w:rsid w:val="006C4183"/>
    <w:rsid w:val="006C42D7"/>
    <w:rsid w:val="006C4903"/>
    <w:rsid w:val="006C4B38"/>
    <w:rsid w:val="006C4DFE"/>
    <w:rsid w:val="006C4FAC"/>
    <w:rsid w:val="006C5349"/>
    <w:rsid w:val="006C5439"/>
    <w:rsid w:val="006C562F"/>
    <w:rsid w:val="006C5659"/>
    <w:rsid w:val="006C59AF"/>
    <w:rsid w:val="006C5E9D"/>
    <w:rsid w:val="006C5EE3"/>
    <w:rsid w:val="006C5F29"/>
    <w:rsid w:val="006C63B2"/>
    <w:rsid w:val="006C66D6"/>
    <w:rsid w:val="006C6838"/>
    <w:rsid w:val="006C6FB3"/>
    <w:rsid w:val="006C71BD"/>
    <w:rsid w:val="006C776A"/>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C27"/>
    <w:rsid w:val="006D5D13"/>
    <w:rsid w:val="006D6308"/>
    <w:rsid w:val="006D669E"/>
    <w:rsid w:val="006D67D2"/>
    <w:rsid w:val="006D6932"/>
    <w:rsid w:val="006D6A51"/>
    <w:rsid w:val="006D6AEC"/>
    <w:rsid w:val="006D706C"/>
    <w:rsid w:val="006D77F6"/>
    <w:rsid w:val="006D7E03"/>
    <w:rsid w:val="006D7F44"/>
    <w:rsid w:val="006E0284"/>
    <w:rsid w:val="006E0AF8"/>
    <w:rsid w:val="006E109A"/>
    <w:rsid w:val="006E1FF4"/>
    <w:rsid w:val="006E213E"/>
    <w:rsid w:val="006E2597"/>
    <w:rsid w:val="006E2658"/>
    <w:rsid w:val="006E2906"/>
    <w:rsid w:val="006E2F47"/>
    <w:rsid w:val="006E330A"/>
    <w:rsid w:val="006E3385"/>
    <w:rsid w:val="006E35A0"/>
    <w:rsid w:val="006E35E3"/>
    <w:rsid w:val="006E3743"/>
    <w:rsid w:val="006E3825"/>
    <w:rsid w:val="006E3B5E"/>
    <w:rsid w:val="006E3F5E"/>
    <w:rsid w:val="006E3FE3"/>
    <w:rsid w:val="006E407A"/>
    <w:rsid w:val="006E4182"/>
    <w:rsid w:val="006E4347"/>
    <w:rsid w:val="006E47CC"/>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DC1"/>
    <w:rsid w:val="006F1FA1"/>
    <w:rsid w:val="006F2084"/>
    <w:rsid w:val="006F22EE"/>
    <w:rsid w:val="006F2440"/>
    <w:rsid w:val="006F255C"/>
    <w:rsid w:val="006F25A4"/>
    <w:rsid w:val="006F25BF"/>
    <w:rsid w:val="006F27D9"/>
    <w:rsid w:val="006F27F5"/>
    <w:rsid w:val="006F2C7B"/>
    <w:rsid w:val="006F2D94"/>
    <w:rsid w:val="006F307E"/>
    <w:rsid w:val="006F3215"/>
    <w:rsid w:val="006F3257"/>
    <w:rsid w:val="006F331B"/>
    <w:rsid w:val="006F3723"/>
    <w:rsid w:val="006F3849"/>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0B1"/>
    <w:rsid w:val="00700117"/>
    <w:rsid w:val="0070018F"/>
    <w:rsid w:val="007002EE"/>
    <w:rsid w:val="007003F2"/>
    <w:rsid w:val="0070059C"/>
    <w:rsid w:val="00700957"/>
    <w:rsid w:val="00700DDE"/>
    <w:rsid w:val="00700E5D"/>
    <w:rsid w:val="00700F1C"/>
    <w:rsid w:val="00701368"/>
    <w:rsid w:val="007015F8"/>
    <w:rsid w:val="00701638"/>
    <w:rsid w:val="007017C7"/>
    <w:rsid w:val="00701C56"/>
    <w:rsid w:val="0070220A"/>
    <w:rsid w:val="0070221C"/>
    <w:rsid w:val="007023E3"/>
    <w:rsid w:val="0070281D"/>
    <w:rsid w:val="00702845"/>
    <w:rsid w:val="00702B18"/>
    <w:rsid w:val="00702B44"/>
    <w:rsid w:val="00702EFE"/>
    <w:rsid w:val="00703263"/>
    <w:rsid w:val="0070386E"/>
    <w:rsid w:val="00703ACD"/>
    <w:rsid w:val="00703CF4"/>
    <w:rsid w:val="007041C9"/>
    <w:rsid w:val="0070433A"/>
    <w:rsid w:val="00704374"/>
    <w:rsid w:val="007044F6"/>
    <w:rsid w:val="00704582"/>
    <w:rsid w:val="007049B4"/>
    <w:rsid w:val="00704E94"/>
    <w:rsid w:val="007056AC"/>
    <w:rsid w:val="00705941"/>
    <w:rsid w:val="00705AD7"/>
    <w:rsid w:val="007064BE"/>
    <w:rsid w:val="0070695F"/>
    <w:rsid w:val="00706B3C"/>
    <w:rsid w:val="00706E67"/>
    <w:rsid w:val="00706EA3"/>
    <w:rsid w:val="00706F03"/>
    <w:rsid w:val="00706FF3"/>
    <w:rsid w:val="00707150"/>
    <w:rsid w:val="0070759D"/>
    <w:rsid w:val="00707D5C"/>
    <w:rsid w:val="0071022C"/>
    <w:rsid w:val="0071083C"/>
    <w:rsid w:val="00711079"/>
    <w:rsid w:val="0071134D"/>
    <w:rsid w:val="007116FD"/>
    <w:rsid w:val="007119B4"/>
    <w:rsid w:val="00711F3A"/>
    <w:rsid w:val="007126CA"/>
    <w:rsid w:val="00712830"/>
    <w:rsid w:val="00712835"/>
    <w:rsid w:val="00712DEE"/>
    <w:rsid w:val="00713081"/>
    <w:rsid w:val="00713217"/>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DC1"/>
    <w:rsid w:val="00724EE1"/>
    <w:rsid w:val="007253F9"/>
    <w:rsid w:val="0072574B"/>
    <w:rsid w:val="007257E4"/>
    <w:rsid w:val="00725830"/>
    <w:rsid w:val="00725A0B"/>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673"/>
    <w:rsid w:val="00727715"/>
    <w:rsid w:val="00727A07"/>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9B"/>
    <w:rsid w:val="00735AC5"/>
    <w:rsid w:val="00735BB4"/>
    <w:rsid w:val="00735EB9"/>
    <w:rsid w:val="00736671"/>
    <w:rsid w:val="0073690F"/>
    <w:rsid w:val="00736E09"/>
    <w:rsid w:val="00736E6F"/>
    <w:rsid w:val="00736EDF"/>
    <w:rsid w:val="0073714D"/>
    <w:rsid w:val="00737546"/>
    <w:rsid w:val="00737631"/>
    <w:rsid w:val="00737825"/>
    <w:rsid w:val="00737BCE"/>
    <w:rsid w:val="00737C2F"/>
    <w:rsid w:val="00737E57"/>
    <w:rsid w:val="00740351"/>
    <w:rsid w:val="0074044F"/>
    <w:rsid w:val="00740FCB"/>
    <w:rsid w:val="007410D7"/>
    <w:rsid w:val="007411CA"/>
    <w:rsid w:val="00741614"/>
    <w:rsid w:val="007416B7"/>
    <w:rsid w:val="007419D4"/>
    <w:rsid w:val="00741A6A"/>
    <w:rsid w:val="00741C4D"/>
    <w:rsid w:val="00741C8F"/>
    <w:rsid w:val="0074278C"/>
    <w:rsid w:val="007427FE"/>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FE8"/>
    <w:rsid w:val="0075430A"/>
    <w:rsid w:val="007544A2"/>
    <w:rsid w:val="00754698"/>
    <w:rsid w:val="00754A77"/>
    <w:rsid w:val="00755019"/>
    <w:rsid w:val="007556F8"/>
    <w:rsid w:val="00755869"/>
    <w:rsid w:val="00755E04"/>
    <w:rsid w:val="00755E39"/>
    <w:rsid w:val="00755E88"/>
    <w:rsid w:val="00756077"/>
    <w:rsid w:val="007562CD"/>
    <w:rsid w:val="007562E9"/>
    <w:rsid w:val="007564F0"/>
    <w:rsid w:val="00756601"/>
    <w:rsid w:val="00756741"/>
    <w:rsid w:val="0075687A"/>
    <w:rsid w:val="00756906"/>
    <w:rsid w:val="00757026"/>
    <w:rsid w:val="007572B6"/>
    <w:rsid w:val="00757845"/>
    <w:rsid w:val="00757F42"/>
    <w:rsid w:val="00760394"/>
    <w:rsid w:val="0076041F"/>
    <w:rsid w:val="007604AA"/>
    <w:rsid w:val="007609C9"/>
    <w:rsid w:val="00760C36"/>
    <w:rsid w:val="00761166"/>
    <w:rsid w:val="00761728"/>
    <w:rsid w:val="00761D75"/>
    <w:rsid w:val="007621FD"/>
    <w:rsid w:val="007623C2"/>
    <w:rsid w:val="00762663"/>
    <w:rsid w:val="00762758"/>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810"/>
    <w:rsid w:val="00767B3E"/>
    <w:rsid w:val="00767C95"/>
    <w:rsid w:val="00767DBD"/>
    <w:rsid w:val="00767E5E"/>
    <w:rsid w:val="007700DA"/>
    <w:rsid w:val="0077069B"/>
    <w:rsid w:val="00770854"/>
    <w:rsid w:val="00771596"/>
    <w:rsid w:val="0077183D"/>
    <w:rsid w:val="00771A12"/>
    <w:rsid w:val="00771A1B"/>
    <w:rsid w:val="00771CBD"/>
    <w:rsid w:val="00771D3A"/>
    <w:rsid w:val="00772032"/>
    <w:rsid w:val="00772154"/>
    <w:rsid w:val="007728D0"/>
    <w:rsid w:val="007729F5"/>
    <w:rsid w:val="0077324B"/>
    <w:rsid w:val="00773290"/>
    <w:rsid w:val="00773660"/>
    <w:rsid w:val="0077388F"/>
    <w:rsid w:val="00773D31"/>
    <w:rsid w:val="00773FD1"/>
    <w:rsid w:val="0077403C"/>
    <w:rsid w:val="007744F1"/>
    <w:rsid w:val="00774570"/>
    <w:rsid w:val="0077461E"/>
    <w:rsid w:val="00774774"/>
    <w:rsid w:val="007747DD"/>
    <w:rsid w:val="00774B9D"/>
    <w:rsid w:val="00774E0D"/>
    <w:rsid w:val="00774FD9"/>
    <w:rsid w:val="00775376"/>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D45"/>
    <w:rsid w:val="00784E22"/>
    <w:rsid w:val="00784E8E"/>
    <w:rsid w:val="0078500B"/>
    <w:rsid w:val="0078554E"/>
    <w:rsid w:val="007858BE"/>
    <w:rsid w:val="00786020"/>
    <w:rsid w:val="0078626E"/>
    <w:rsid w:val="007869A6"/>
    <w:rsid w:val="00786B78"/>
    <w:rsid w:val="00786C70"/>
    <w:rsid w:val="00786FDE"/>
    <w:rsid w:val="007870C2"/>
    <w:rsid w:val="00787506"/>
    <w:rsid w:val="00790760"/>
    <w:rsid w:val="00790CEC"/>
    <w:rsid w:val="00790D47"/>
    <w:rsid w:val="0079132F"/>
    <w:rsid w:val="007916E8"/>
    <w:rsid w:val="00791950"/>
    <w:rsid w:val="007919FD"/>
    <w:rsid w:val="00791E3B"/>
    <w:rsid w:val="00792554"/>
    <w:rsid w:val="00792692"/>
    <w:rsid w:val="007926EA"/>
    <w:rsid w:val="00792CA0"/>
    <w:rsid w:val="00792D00"/>
    <w:rsid w:val="0079386F"/>
    <w:rsid w:val="00793E42"/>
    <w:rsid w:val="00794793"/>
    <w:rsid w:val="007948A2"/>
    <w:rsid w:val="007949C2"/>
    <w:rsid w:val="00794BCD"/>
    <w:rsid w:val="00795294"/>
    <w:rsid w:val="00795350"/>
    <w:rsid w:val="007954D3"/>
    <w:rsid w:val="00795BC4"/>
    <w:rsid w:val="00795CF3"/>
    <w:rsid w:val="00795EBF"/>
    <w:rsid w:val="00795F28"/>
    <w:rsid w:val="00796036"/>
    <w:rsid w:val="007968C0"/>
    <w:rsid w:val="00796958"/>
    <w:rsid w:val="007969C9"/>
    <w:rsid w:val="00796A63"/>
    <w:rsid w:val="00796BE1"/>
    <w:rsid w:val="007970BC"/>
    <w:rsid w:val="007971B0"/>
    <w:rsid w:val="00797FA1"/>
    <w:rsid w:val="007A0037"/>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54"/>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1C0"/>
    <w:rsid w:val="007A7206"/>
    <w:rsid w:val="007A75B2"/>
    <w:rsid w:val="007A76DA"/>
    <w:rsid w:val="007A7B8F"/>
    <w:rsid w:val="007A7B98"/>
    <w:rsid w:val="007A7EAC"/>
    <w:rsid w:val="007B059B"/>
    <w:rsid w:val="007B077B"/>
    <w:rsid w:val="007B0D4A"/>
    <w:rsid w:val="007B0E0D"/>
    <w:rsid w:val="007B1389"/>
    <w:rsid w:val="007B158E"/>
    <w:rsid w:val="007B1707"/>
    <w:rsid w:val="007B211A"/>
    <w:rsid w:val="007B2334"/>
    <w:rsid w:val="007B2344"/>
    <w:rsid w:val="007B24B5"/>
    <w:rsid w:val="007B2AED"/>
    <w:rsid w:val="007B2C33"/>
    <w:rsid w:val="007B2D5D"/>
    <w:rsid w:val="007B2D9E"/>
    <w:rsid w:val="007B324C"/>
    <w:rsid w:val="007B34FA"/>
    <w:rsid w:val="007B3555"/>
    <w:rsid w:val="007B36BE"/>
    <w:rsid w:val="007B395A"/>
    <w:rsid w:val="007B3AB7"/>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909"/>
    <w:rsid w:val="007C1AF8"/>
    <w:rsid w:val="007C29AB"/>
    <w:rsid w:val="007C2AA4"/>
    <w:rsid w:val="007C2FEB"/>
    <w:rsid w:val="007C3424"/>
    <w:rsid w:val="007C41D7"/>
    <w:rsid w:val="007C4223"/>
    <w:rsid w:val="007C472A"/>
    <w:rsid w:val="007C4CE4"/>
    <w:rsid w:val="007C50DC"/>
    <w:rsid w:val="007C5675"/>
    <w:rsid w:val="007C5774"/>
    <w:rsid w:val="007C58B3"/>
    <w:rsid w:val="007C5DFE"/>
    <w:rsid w:val="007C6005"/>
    <w:rsid w:val="007C6173"/>
    <w:rsid w:val="007C6394"/>
    <w:rsid w:val="007C6506"/>
    <w:rsid w:val="007C66BC"/>
    <w:rsid w:val="007C6753"/>
    <w:rsid w:val="007C67AA"/>
    <w:rsid w:val="007C6950"/>
    <w:rsid w:val="007C6D32"/>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21D2"/>
    <w:rsid w:val="007E28AA"/>
    <w:rsid w:val="007E2B02"/>
    <w:rsid w:val="007E2D6A"/>
    <w:rsid w:val="007E2FAB"/>
    <w:rsid w:val="007E30B1"/>
    <w:rsid w:val="007E3189"/>
    <w:rsid w:val="007E324D"/>
    <w:rsid w:val="007E3A4D"/>
    <w:rsid w:val="007E3D59"/>
    <w:rsid w:val="007E407B"/>
    <w:rsid w:val="007E4A0C"/>
    <w:rsid w:val="007E4A45"/>
    <w:rsid w:val="007E4BE8"/>
    <w:rsid w:val="007E50E5"/>
    <w:rsid w:val="007E5117"/>
    <w:rsid w:val="007E5EA3"/>
    <w:rsid w:val="007E61C6"/>
    <w:rsid w:val="007E6AF4"/>
    <w:rsid w:val="007E6E14"/>
    <w:rsid w:val="007E7103"/>
    <w:rsid w:val="007E72AC"/>
    <w:rsid w:val="007E787E"/>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78E"/>
    <w:rsid w:val="007F5BF1"/>
    <w:rsid w:val="007F5C39"/>
    <w:rsid w:val="007F601A"/>
    <w:rsid w:val="007F63B3"/>
    <w:rsid w:val="007F645B"/>
    <w:rsid w:val="007F6510"/>
    <w:rsid w:val="007F71D6"/>
    <w:rsid w:val="007F79B9"/>
    <w:rsid w:val="0080023C"/>
    <w:rsid w:val="00800AA5"/>
    <w:rsid w:val="00800F6F"/>
    <w:rsid w:val="00801044"/>
    <w:rsid w:val="0080107D"/>
    <w:rsid w:val="008012ED"/>
    <w:rsid w:val="00801A65"/>
    <w:rsid w:val="00802793"/>
    <w:rsid w:val="008028DF"/>
    <w:rsid w:val="00802914"/>
    <w:rsid w:val="00802DAA"/>
    <w:rsid w:val="00802DFD"/>
    <w:rsid w:val="00802F50"/>
    <w:rsid w:val="00803186"/>
    <w:rsid w:val="008031AD"/>
    <w:rsid w:val="00803942"/>
    <w:rsid w:val="00803A6E"/>
    <w:rsid w:val="00803B34"/>
    <w:rsid w:val="00803FAE"/>
    <w:rsid w:val="00804583"/>
    <w:rsid w:val="008049B6"/>
    <w:rsid w:val="00804C16"/>
    <w:rsid w:val="00804C96"/>
    <w:rsid w:val="00804CFD"/>
    <w:rsid w:val="00804F64"/>
    <w:rsid w:val="008059B2"/>
    <w:rsid w:val="00805F16"/>
    <w:rsid w:val="00806197"/>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D4F"/>
    <w:rsid w:val="00810EAB"/>
    <w:rsid w:val="00810F24"/>
    <w:rsid w:val="00811114"/>
    <w:rsid w:val="00811D51"/>
    <w:rsid w:val="00812082"/>
    <w:rsid w:val="00812124"/>
    <w:rsid w:val="00812216"/>
    <w:rsid w:val="0081264D"/>
    <w:rsid w:val="00812EE4"/>
    <w:rsid w:val="00812F02"/>
    <w:rsid w:val="00813071"/>
    <w:rsid w:val="00813178"/>
    <w:rsid w:val="00813352"/>
    <w:rsid w:val="008133F7"/>
    <w:rsid w:val="00813576"/>
    <w:rsid w:val="0081394A"/>
    <w:rsid w:val="008139B6"/>
    <w:rsid w:val="00813C5B"/>
    <w:rsid w:val="00813E3F"/>
    <w:rsid w:val="008141DB"/>
    <w:rsid w:val="008149CA"/>
    <w:rsid w:val="00814E0C"/>
    <w:rsid w:val="00815921"/>
    <w:rsid w:val="0081635B"/>
    <w:rsid w:val="00816746"/>
    <w:rsid w:val="00816B7E"/>
    <w:rsid w:val="00816E37"/>
    <w:rsid w:val="00817381"/>
    <w:rsid w:val="00817919"/>
    <w:rsid w:val="0081791B"/>
    <w:rsid w:val="00817A64"/>
    <w:rsid w:val="00817A89"/>
    <w:rsid w:val="00817B3A"/>
    <w:rsid w:val="00817CB0"/>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98E"/>
    <w:rsid w:val="008229C6"/>
    <w:rsid w:val="00822CC6"/>
    <w:rsid w:val="00822CC7"/>
    <w:rsid w:val="00822E3D"/>
    <w:rsid w:val="00823355"/>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8B0"/>
    <w:rsid w:val="00831B7D"/>
    <w:rsid w:val="00831B8B"/>
    <w:rsid w:val="00831C9B"/>
    <w:rsid w:val="00831D0D"/>
    <w:rsid w:val="00831EDF"/>
    <w:rsid w:val="00832252"/>
    <w:rsid w:val="0083237A"/>
    <w:rsid w:val="00832469"/>
    <w:rsid w:val="00832A24"/>
    <w:rsid w:val="00832DAF"/>
    <w:rsid w:val="0083310A"/>
    <w:rsid w:val="00833387"/>
    <w:rsid w:val="008337BC"/>
    <w:rsid w:val="00833C02"/>
    <w:rsid w:val="00833C1C"/>
    <w:rsid w:val="00833F69"/>
    <w:rsid w:val="00834631"/>
    <w:rsid w:val="00835094"/>
    <w:rsid w:val="008351F9"/>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A1"/>
    <w:rsid w:val="008436E7"/>
    <w:rsid w:val="00843D53"/>
    <w:rsid w:val="0084422D"/>
    <w:rsid w:val="008447FB"/>
    <w:rsid w:val="00844B6A"/>
    <w:rsid w:val="00844C8F"/>
    <w:rsid w:val="0084511D"/>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754"/>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6EBE"/>
    <w:rsid w:val="008575B2"/>
    <w:rsid w:val="00857FC8"/>
    <w:rsid w:val="00860276"/>
    <w:rsid w:val="008604F6"/>
    <w:rsid w:val="0086065D"/>
    <w:rsid w:val="00860AFC"/>
    <w:rsid w:val="00860D40"/>
    <w:rsid w:val="00860F51"/>
    <w:rsid w:val="0086105A"/>
    <w:rsid w:val="00861168"/>
    <w:rsid w:val="0086160A"/>
    <w:rsid w:val="00861FD2"/>
    <w:rsid w:val="0086213C"/>
    <w:rsid w:val="00862C85"/>
    <w:rsid w:val="00862F81"/>
    <w:rsid w:val="0086323E"/>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7030E"/>
    <w:rsid w:val="00870410"/>
    <w:rsid w:val="00870593"/>
    <w:rsid w:val="008705EA"/>
    <w:rsid w:val="008705FE"/>
    <w:rsid w:val="0087072F"/>
    <w:rsid w:val="00870DFD"/>
    <w:rsid w:val="0087130E"/>
    <w:rsid w:val="00871509"/>
    <w:rsid w:val="00871585"/>
    <w:rsid w:val="008715EC"/>
    <w:rsid w:val="00871D67"/>
    <w:rsid w:val="008720F5"/>
    <w:rsid w:val="0087252F"/>
    <w:rsid w:val="0087256A"/>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5BFD"/>
    <w:rsid w:val="00875D0B"/>
    <w:rsid w:val="00876024"/>
    <w:rsid w:val="00876038"/>
    <w:rsid w:val="008764B4"/>
    <w:rsid w:val="008769D3"/>
    <w:rsid w:val="00876C6A"/>
    <w:rsid w:val="00876ECD"/>
    <w:rsid w:val="00876EF4"/>
    <w:rsid w:val="008770BC"/>
    <w:rsid w:val="00877275"/>
    <w:rsid w:val="00877B2B"/>
    <w:rsid w:val="00877F12"/>
    <w:rsid w:val="008801F6"/>
    <w:rsid w:val="008802FA"/>
    <w:rsid w:val="008804F0"/>
    <w:rsid w:val="008807D5"/>
    <w:rsid w:val="00880B71"/>
    <w:rsid w:val="00881086"/>
    <w:rsid w:val="00881100"/>
    <w:rsid w:val="0088124F"/>
    <w:rsid w:val="008820B4"/>
    <w:rsid w:val="00882DB5"/>
    <w:rsid w:val="00882FC0"/>
    <w:rsid w:val="008839C7"/>
    <w:rsid w:val="00883BCC"/>
    <w:rsid w:val="008842C2"/>
    <w:rsid w:val="0088441A"/>
    <w:rsid w:val="00884633"/>
    <w:rsid w:val="008846ED"/>
    <w:rsid w:val="0088477A"/>
    <w:rsid w:val="008848B0"/>
    <w:rsid w:val="00884A76"/>
    <w:rsid w:val="00884B36"/>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7C8"/>
    <w:rsid w:val="00894B49"/>
    <w:rsid w:val="00894DB9"/>
    <w:rsid w:val="00894DC6"/>
    <w:rsid w:val="00894F7E"/>
    <w:rsid w:val="00895062"/>
    <w:rsid w:val="00895D03"/>
    <w:rsid w:val="008962B2"/>
    <w:rsid w:val="00896478"/>
    <w:rsid w:val="008964BF"/>
    <w:rsid w:val="00896582"/>
    <w:rsid w:val="00896663"/>
    <w:rsid w:val="00896692"/>
    <w:rsid w:val="00896C98"/>
    <w:rsid w:val="00896F82"/>
    <w:rsid w:val="00897631"/>
    <w:rsid w:val="008977A9"/>
    <w:rsid w:val="008A0167"/>
    <w:rsid w:val="008A01A1"/>
    <w:rsid w:val="008A0223"/>
    <w:rsid w:val="008A07E5"/>
    <w:rsid w:val="008A18A0"/>
    <w:rsid w:val="008A1976"/>
    <w:rsid w:val="008A259F"/>
    <w:rsid w:val="008A2B11"/>
    <w:rsid w:val="008A2E40"/>
    <w:rsid w:val="008A2F7E"/>
    <w:rsid w:val="008A2FB0"/>
    <w:rsid w:val="008A31FA"/>
    <w:rsid w:val="008A3737"/>
    <w:rsid w:val="008A40A7"/>
    <w:rsid w:val="008A4195"/>
    <w:rsid w:val="008A4400"/>
    <w:rsid w:val="008A46CB"/>
    <w:rsid w:val="008A47E6"/>
    <w:rsid w:val="008A489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EEA"/>
    <w:rsid w:val="008B37A3"/>
    <w:rsid w:val="008B3C51"/>
    <w:rsid w:val="008B3E46"/>
    <w:rsid w:val="008B4023"/>
    <w:rsid w:val="008B42B6"/>
    <w:rsid w:val="008B42E4"/>
    <w:rsid w:val="008B46C3"/>
    <w:rsid w:val="008B47D0"/>
    <w:rsid w:val="008B4C49"/>
    <w:rsid w:val="008B4DCD"/>
    <w:rsid w:val="008B4ECF"/>
    <w:rsid w:val="008B50E0"/>
    <w:rsid w:val="008B52A1"/>
    <w:rsid w:val="008B53A5"/>
    <w:rsid w:val="008B5B77"/>
    <w:rsid w:val="008B5BE4"/>
    <w:rsid w:val="008B6232"/>
    <w:rsid w:val="008B63B7"/>
    <w:rsid w:val="008B6579"/>
    <w:rsid w:val="008B6585"/>
    <w:rsid w:val="008B6CD4"/>
    <w:rsid w:val="008B6E62"/>
    <w:rsid w:val="008B714F"/>
    <w:rsid w:val="008B7473"/>
    <w:rsid w:val="008C0624"/>
    <w:rsid w:val="008C0B28"/>
    <w:rsid w:val="008C0D63"/>
    <w:rsid w:val="008C1028"/>
    <w:rsid w:val="008C1414"/>
    <w:rsid w:val="008C15A1"/>
    <w:rsid w:val="008C167D"/>
    <w:rsid w:val="008C16F5"/>
    <w:rsid w:val="008C1763"/>
    <w:rsid w:val="008C1C10"/>
    <w:rsid w:val="008C1D75"/>
    <w:rsid w:val="008C1DAC"/>
    <w:rsid w:val="008C2317"/>
    <w:rsid w:val="008C2466"/>
    <w:rsid w:val="008C2931"/>
    <w:rsid w:val="008C2A1E"/>
    <w:rsid w:val="008C2B30"/>
    <w:rsid w:val="008C32FC"/>
    <w:rsid w:val="008C3318"/>
    <w:rsid w:val="008C3677"/>
    <w:rsid w:val="008C3D62"/>
    <w:rsid w:val="008C3DA7"/>
    <w:rsid w:val="008C3ED6"/>
    <w:rsid w:val="008C41CE"/>
    <w:rsid w:val="008C4523"/>
    <w:rsid w:val="008C4563"/>
    <w:rsid w:val="008C4582"/>
    <w:rsid w:val="008C474E"/>
    <w:rsid w:val="008C4B3D"/>
    <w:rsid w:val="008C4F95"/>
    <w:rsid w:val="008C50A5"/>
    <w:rsid w:val="008C5775"/>
    <w:rsid w:val="008C59BB"/>
    <w:rsid w:val="008C59E1"/>
    <w:rsid w:val="008C5C04"/>
    <w:rsid w:val="008C5C63"/>
    <w:rsid w:val="008C5E3D"/>
    <w:rsid w:val="008C6152"/>
    <w:rsid w:val="008C61A2"/>
    <w:rsid w:val="008C621C"/>
    <w:rsid w:val="008C651D"/>
    <w:rsid w:val="008C67BE"/>
    <w:rsid w:val="008C6AB7"/>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F00"/>
    <w:rsid w:val="008D3F69"/>
    <w:rsid w:val="008D437E"/>
    <w:rsid w:val="008D4487"/>
    <w:rsid w:val="008D453C"/>
    <w:rsid w:val="008D4DA1"/>
    <w:rsid w:val="008D53BC"/>
    <w:rsid w:val="008D5A8F"/>
    <w:rsid w:val="008D5CB6"/>
    <w:rsid w:val="008D5E6B"/>
    <w:rsid w:val="008D6C1A"/>
    <w:rsid w:val="008D6CA2"/>
    <w:rsid w:val="008D6CE8"/>
    <w:rsid w:val="008D6E30"/>
    <w:rsid w:val="008D6FBB"/>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B21"/>
    <w:rsid w:val="008E5DDA"/>
    <w:rsid w:val="008E60F8"/>
    <w:rsid w:val="008E6258"/>
    <w:rsid w:val="008E62B5"/>
    <w:rsid w:val="008E631B"/>
    <w:rsid w:val="008E68A4"/>
    <w:rsid w:val="008E6AA9"/>
    <w:rsid w:val="008E6B55"/>
    <w:rsid w:val="008E6FCA"/>
    <w:rsid w:val="008E768B"/>
    <w:rsid w:val="008E798E"/>
    <w:rsid w:val="008E7E2C"/>
    <w:rsid w:val="008F0107"/>
    <w:rsid w:val="008F0249"/>
    <w:rsid w:val="008F0513"/>
    <w:rsid w:val="008F0968"/>
    <w:rsid w:val="008F0C0C"/>
    <w:rsid w:val="008F105A"/>
    <w:rsid w:val="008F18FD"/>
    <w:rsid w:val="008F2357"/>
    <w:rsid w:val="008F2373"/>
    <w:rsid w:val="008F2421"/>
    <w:rsid w:val="008F2B9C"/>
    <w:rsid w:val="008F2CCE"/>
    <w:rsid w:val="008F2D49"/>
    <w:rsid w:val="008F2DD7"/>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604"/>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2ED"/>
    <w:rsid w:val="009145F3"/>
    <w:rsid w:val="00914963"/>
    <w:rsid w:val="00914D00"/>
    <w:rsid w:val="00915070"/>
    <w:rsid w:val="00915203"/>
    <w:rsid w:val="00915410"/>
    <w:rsid w:val="00915847"/>
    <w:rsid w:val="00915A1D"/>
    <w:rsid w:val="00916015"/>
    <w:rsid w:val="009165C4"/>
    <w:rsid w:val="00916678"/>
    <w:rsid w:val="00916788"/>
    <w:rsid w:val="00916D7B"/>
    <w:rsid w:val="00916F95"/>
    <w:rsid w:val="0091718D"/>
    <w:rsid w:val="009174F5"/>
    <w:rsid w:val="0091765A"/>
    <w:rsid w:val="0091782C"/>
    <w:rsid w:val="00917A9C"/>
    <w:rsid w:val="00917DF8"/>
    <w:rsid w:val="0092021B"/>
    <w:rsid w:val="00920487"/>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D74"/>
    <w:rsid w:val="009262D1"/>
    <w:rsid w:val="00926C33"/>
    <w:rsid w:val="00927117"/>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A9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D9D"/>
    <w:rsid w:val="00944F5F"/>
    <w:rsid w:val="0094529E"/>
    <w:rsid w:val="00945657"/>
    <w:rsid w:val="009456CD"/>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88"/>
    <w:rsid w:val="00962762"/>
    <w:rsid w:val="00962FFF"/>
    <w:rsid w:val="00963011"/>
    <w:rsid w:val="00963069"/>
    <w:rsid w:val="0096332F"/>
    <w:rsid w:val="00963690"/>
    <w:rsid w:val="009636A1"/>
    <w:rsid w:val="00963CD3"/>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A99"/>
    <w:rsid w:val="00973F13"/>
    <w:rsid w:val="0097442B"/>
    <w:rsid w:val="00974584"/>
    <w:rsid w:val="00974623"/>
    <w:rsid w:val="0097464A"/>
    <w:rsid w:val="009746E3"/>
    <w:rsid w:val="00974725"/>
    <w:rsid w:val="00974956"/>
    <w:rsid w:val="00974CB2"/>
    <w:rsid w:val="00975148"/>
    <w:rsid w:val="00975443"/>
    <w:rsid w:val="00975587"/>
    <w:rsid w:val="00975612"/>
    <w:rsid w:val="009756D5"/>
    <w:rsid w:val="00976D20"/>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166"/>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B47"/>
    <w:rsid w:val="00995C53"/>
    <w:rsid w:val="00995ECA"/>
    <w:rsid w:val="00995F27"/>
    <w:rsid w:val="00996A23"/>
    <w:rsid w:val="00996AEE"/>
    <w:rsid w:val="00996C91"/>
    <w:rsid w:val="00996D6C"/>
    <w:rsid w:val="0099788B"/>
    <w:rsid w:val="00997C8C"/>
    <w:rsid w:val="00997EC6"/>
    <w:rsid w:val="00997F74"/>
    <w:rsid w:val="009A0331"/>
    <w:rsid w:val="009A07EA"/>
    <w:rsid w:val="009A1711"/>
    <w:rsid w:val="009A221D"/>
    <w:rsid w:val="009A228B"/>
    <w:rsid w:val="009A2920"/>
    <w:rsid w:val="009A2A58"/>
    <w:rsid w:val="009A2CC5"/>
    <w:rsid w:val="009A2D1A"/>
    <w:rsid w:val="009A2D5F"/>
    <w:rsid w:val="009A34EB"/>
    <w:rsid w:val="009A3504"/>
    <w:rsid w:val="009A362E"/>
    <w:rsid w:val="009A37C2"/>
    <w:rsid w:val="009A402F"/>
    <w:rsid w:val="009A4214"/>
    <w:rsid w:val="009A48D0"/>
    <w:rsid w:val="009A49A5"/>
    <w:rsid w:val="009A4A2C"/>
    <w:rsid w:val="009A4D4B"/>
    <w:rsid w:val="009A5201"/>
    <w:rsid w:val="009A5249"/>
    <w:rsid w:val="009A5336"/>
    <w:rsid w:val="009A5472"/>
    <w:rsid w:val="009A54DC"/>
    <w:rsid w:val="009A58AC"/>
    <w:rsid w:val="009A5D55"/>
    <w:rsid w:val="009A604F"/>
    <w:rsid w:val="009A609A"/>
    <w:rsid w:val="009A67CA"/>
    <w:rsid w:val="009A6ADF"/>
    <w:rsid w:val="009A6C45"/>
    <w:rsid w:val="009A7456"/>
    <w:rsid w:val="009A78C1"/>
    <w:rsid w:val="009A794F"/>
    <w:rsid w:val="009A7D71"/>
    <w:rsid w:val="009B00D3"/>
    <w:rsid w:val="009B0701"/>
    <w:rsid w:val="009B08F7"/>
    <w:rsid w:val="009B098B"/>
    <w:rsid w:val="009B0D1A"/>
    <w:rsid w:val="009B1587"/>
    <w:rsid w:val="009B17E2"/>
    <w:rsid w:val="009B1F9F"/>
    <w:rsid w:val="009B2319"/>
    <w:rsid w:val="009B2596"/>
    <w:rsid w:val="009B26B9"/>
    <w:rsid w:val="009B3588"/>
    <w:rsid w:val="009B3746"/>
    <w:rsid w:val="009B3BB8"/>
    <w:rsid w:val="009B3CDD"/>
    <w:rsid w:val="009B4357"/>
    <w:rsid w:val="009B49AE"/>
    <w:rsid w:val="009B4F4E"/>
    <w:rsid w:val="009B5132"/>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FB5"/>
    <w:rsid w:val="009D1FC3"/>
    <w:rsid w:val="009D217D"/>
    <w:rsid w:val="009D279B"/>
    <w:rsid w:val="009D27E8"/>
    <w:rsid w:val="009D2C7F"/>
    <w:rsid w:val="009D30DD"/>
    <w:rsid w:val="009D30F5"/>
    <w:rsid w:val="009D3AA6"/>
    <w:rsid w:val="009D4859"/>
    <w:rsid w:val="009D4EDA"/>
    <w:rsid w:val="009D5AA2"/>
    <w:rsid w:val="009D5C5D"/>
    <w:rsid w:val="009D6749"/>
    <w:rsid w:val="009D6BC3"/>
    <w:rsid w:val="009D6DD7"/>
    <w:rsid w:val="009D7CB2"/>
    <w:rsid w:val="009D7CE4"/>
    <w:rsid w:val="009E00B1"/>
    <w:rsid w:val="009E02B8"/>
    <w:rsid w:val="009E05EA"/>
    <w:rsid w:val="009E0FD7"/>
    <w:rsid w:val="009E0FDC"/>
    <w:rsid w:val="009E11E9"/>
    <w:rsid w:val="009E13D6"/>
    <w:rsid w:val="009E1699"/>
    <w:rsid w:val="009E16F9"/>
    <w:rsid w:val="009E17F9"/>
    <w:rsid w:val="009E24C7"/>
    <w:rsid w:val="009E25E2"/>
    <w:rsid w:val="009E2AAB"/>
    <w:rsid w:val="009E2AF6"/>
    <w:rsid w:val="009E2C52"/>
    <w:rsid w:val="009E2FE3"/>
    <w:rsid w:val="009E35FD"/>
    <w:rsid w:val="009E3B6D"/>
    <w:rsid w:val="009E3EF5"/>
    <w:rsid w:val="009E48EA"/>
    <w:rsid w:val="009E497B"/>
    <w:rsid w:val="009E49DC"/>
    <w:rsid w:val="009E4BF3"/>
    <w:rsid w:val="009E4D7C"/>
    <w:rsid w:val="009E4D8B"/>
    <w:rsid w:val="009E4E6B"/>
    <w:rsid w:val="009E5135"/>
    <w:rsid w:val="009E55DD"/>
    <w:rsid w:val="009E5CAA"/>
    <w:rsid w:val="009E5EC4"/>
    <w:rsid w:val="009E6051"/>
    <w:rsid w:val="009E62B2"/>
    <w:rsid w:val="009E6304"/>
    <w:rsid w:val="009E6576"/>
    <w:rsid w:val="009E69C8"/>
    <w:rsid w:val="009E6AD4"/>
    <w:rsid w:val="009E6F45"/>
    <w:rsid w:val="009E6F71"/>
    <w:rsid w:val="009E6FA8"/>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A1"/>
    <w:rsid w:val="009F53F3"/>
    <w:rsid w:val="009F5BCD"/>
    <w:rsid w:val="009F5CC5"/>
    <w:rsid w:val="009F62B0"/>
    <w:rsid w:val="009F648E"/>
    <w:rsid w:val="009F69CB"/>
    <w:rsid w:val="009F6C17"/>
    <w:rsid w:val="009F73D7"/>
    <w:rsid w:val="009F7553"/>
    <w:rsid w:val="009F7711"/>
    <w:rsid w:val="009F7DC2"/>
    <w:rsid w:val="009F7E66"/>
    <w:rsid w:val="00A005FB"/>
    <w:rsid w:val="00A00D0B"/>
    <w:rsid w:val="00A00EFD"/>
    <w:rsid w:val="00A010A1"/>
    <w:rsid w:val="00A01300"/>
    <w:rsid w:val="00A01BE5"/>
    <w:rsid w:val="00A0205E"/>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2A3"/>
    <w:rsid w:val="00A053B7"/>
    <w:rsid w:val="00A05505"/>
    <w:rsid w:val="00A0569B"/>
    <w:rsid w:val="00A05AB6"/>
    <w:rsid w:val="00A05D13"/>
    <w:rsid w:val="00A06042"/>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C0C"/>
    <w:rsid w:val="00A230A2"/>
    <w:rsid w:val="00A231EB"/>
    <w:rsid w:val="00A231FE"/>
    <w:rsid w:val="00A2334F"/>
    <w:rsid w:val="00A234B0"/>
    <w:rsid w:val="00A23553"/>
    <w:rsid w:val="00A23949"/>
    <w:rsid w:val="00A23957"/>
    <w:rsid w:val="00A23ADC"/>
    <w:rsid w:val="00A23EEF"/>
    <w:rsid w:val="00A243CB"/>
    <w:rsid w:val="00A24988"/>
    <w:rsid w:val="00A24EB4"/>
    <w:rsid w:val="00A25007"/>
    <w:rsid w:val="00A251A4"/>
    <w:rsid w:val="00A2538B"/>
    <w:rsid w:val="00A25428"/>
    <w:rsid w:val="00A25DC3"/>
    <w:rsid w:val="00A25E8C"/>
    <w:rsid w:val="00A25F1A"/>
    <w:rsid w:val="00A269CF"/>
    <w:rsid w:val="00A26F08"/>
    <w:rsid w:val="00A26F80"/>
    <w:rsid w:val="00A27003"/>
    <w:rsid w:val="00A270C3"/>
    <w:rsid w:val="00A2744F"/>
    <w:rsid w:val="00A278C2"/>
    <w:rsid w:val="00A27ED8"/>
    <w:rsid w:val="00A30011"/>
    <w:rsid w:val="00A30202"/>
    <w:rsid w:val="00A306F0"/>
    <w:rsid w:val="00A30713"/>
    <w:rsid w:val="00A30BA9"/>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332"/>
    <w:rsid w:val="00A4136A"/>
    <w:rsid w:val="00A4143B"/>
    <w:rsid w:val="00A419D1"/>
    <w:rsid w:val="00A424DE"/>
    <w:rsid w:val="00A424FC"/>
    <w:rsid w:val="00A42B8C"/>
    <w:rsid w:val="00A43083"/>
    <w:rsid w:val="00A430C9"/>
    <w:rsid w:val="00A43559"/>
    <w:rsid w:val="00A439CF"/>
    <w:rsid w:val="00A43B33"/>
    <w:rsid w:val="00A43D12"/>
    <w:rsid w:val="00A43FF1"/>
    <w:rsid w:val="00A442D7"/>
    <w:rsid w:val="00A44486"/>
    <w:rsid w:val="00A4449F"/>
    <w:rsid w:val="00A44768"/>
    <w:rsid w:val="00A44AA7"/>
    <w:rsid w:val="00A452D8"/>
    <w:rsid w:val="00A4535E"/>
    <w:rsid w:val="00A45761"/>
    <w:rsid w:val="00A46205"/>
    <w:rsid w:val="00A4622B"/>
    <w:rsid w:val="00A46405"/>
    <w:rsid w:val="00A46A6E"/>
    <w:rsid w:val="00A47070"/>
    <w:rsid w:val="00A4708A"/>
    <w:rsid w:val="00A472F4"/>
    <w:rsid w:val="00A4764D"/>
    <w:rsid w:val="00A477B6"/>
    <w:rsid w:val="00A47BD2"/>
    <w:rsid w:val="00A47D89"/>
    <w:rsid w:val="00A505E8"/>
    <w:rsid w:val="00A5063F"/>
    <w:rsid w:val="00A50D31"/>
    <w:rsid w:val="00A5109C"/>
    <w:rsid w:val="00A512A4"/>
    <w:rsid w:val="00A51321"/>
    <w:rsid w:val="00A5156E"/>
    <w:rsid w:val="00A51B88"/>
    <w:rsid w:val="00A51E88"/>
    <w:rsid w:val="00A51EE7"/>
    <w:rsid w:val="00A51EF1"/>
    <w:rsid w:val="00A52227"/>
    <w:rsid w:val="00A52BA2"/>
    <w:rsid w:val="00A53384"/>
    <w:rsid w:val="00A537F2"/>
    <w:rsid w:val="00A53CD1"/>
    <w:rsid w:val="00A53D1C"/>
    <w:rsid w:val="00A5402A"/>
    <w:rsid w:val="00A54036"/>
    <w:rsid w:val="00A5443E"/>
    <w:rsid w:val="00A5448C"/>
    <w:rsid w:val="00A546BF"/>
    <w:rsid w:val="00A54712"/>
    <w:rsid w:val="00A549A3"/>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A5"/>
    <w:rsid w:val="00A607FB"/>
    <w:rsid w:val="00A60971"/>
    <w:rsid w:val="00A60DCA"/>
    <w:rsid w:val="00A60F7E"/>
    <w:rsid w:val="00A60FAE"/>
    <w:rsid w:val="00A615DD"/>
    <w:rsid w:val="00A61F86"/>
    <w:rsid w:val="00A6220B"/>
    <w:rsid w:val="00A622D4"/>
    <w:rsid w:val="00A62CDB"/>
    <w:rsid w:val="00A62D8D"/>
    <w:rsid w:val="00A62EB7"/>
    <w:rsid w:val="00A639B3"/>
    <w:rsid w:val="00A63CAD"/>
    <w:rsid w:val="00A63D13"/>
    <w:rsid w:val="00A63ED8"/>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6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ECF"/>
    <w:rsid w:val="00A806CA"/>
    <w:rsid w:val="00A80740"/>
    <w:rsid w:val="00A808F4"/>
    <w:rsid w:val="00A80B8C"/>
    <w:rsid w:val="00A80D08"/>
    <w:rsid w:val="00A80E45"/>
    <w:rsid w:val="00A80E52"/>
    <w:rsid w:val="00A81051"/>
    <w:rsid w:val="00A81158"/>
    <w:rsid w:val="00A8134A"/>
    <w:rsid w:val="00A81B6B"/>
    <w:rsid w:val="00A823A7"/>
    <w:rsid w:val="00A82946"/>
    <w:rsid w:val="00A82BF4"/>
    <w:rsid w:val="00A82E4B"/>
    <w:rsid w:val="00A8326C"/>
    <w:rsid w:val="00A832BB"/>
    <w:rsid w:val="00A83642"/>
    <w:rsid w:val="00A83B1C"/>
    <w:rsid w:val="00A83E57"/>
    <w:rsid w:val="00A83F6E"/>
    <w:rsid w:val="00A8402A"/>
    <w:rsid w:val="00A84148"/>
    <w:rsid w:val="00A846ED"/>
    <w:rsid w:val="00A84B13"/>
    <w:rsid w:val="00A85010"/>
    <w:rsid w:val="00A85305"/>
    <w:rsid w:val="00A85713"/>
    <w:rsid w:val="00A857B9"/>
    <w:rsid w:val="00A859E4"/>
    <w:rsid w:val="00A85AA7"/>
    <w:rsid w:val="00A85CBE"/>
    <w:rsid w:val="00A85D7D"/>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560"/>
    <w:rsid w:val="00A93644"/>
    <w:rsid w:val="00A93671"/>
    <w:rsid w:val="00A938AD"/>
    <w:rsid w:val="00A93EC7"/>
    <w:rsid w:val="00A944FE"/>
    <w:rsid w:val="00A945F5"/>
    <w:rsid w:val="00A94886"/>
    <w:rsid w:val="00A94D3A"/>
    <w:rsid w:val="00A95240"/>
    <w:rsid w:val="00A952A4"/>
    <w:rsid w:val="00A9559C"/>
    <w:rsid w:val="00A9582B"/>
    <w:rsid w:val="00A95DE3"/>
    <w:rsid w:val="00A95E1A"/>
    <w:rsid w:val="00A95F40"/>
    <w:rsid w:val="00A964AB"/>
    <w:rsid w:val="00A96A9D"/>
    <w:rsid w:val="00A97CD1"/>
    <w:rsid w:val="00A97E96"/>
    <w:rsid w:val="00A97FA8"/>
    <w:rsid w:val="00AA02E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8F9"/>
    <w:rsid w:val="00AB4F39"/>
    <w:rsid w:val="00AB5008"/>
    <w:rsid w:val="00AB52BA"/>
    <w:rsid w:val="00AB54AD"/>
    <w:rsid w:val="00AB597F"/>
    <w:rsid w:val="00AB5B08"/>
    <w:rsid w:val="00AB5EE8"/>
    <w:rsid w:val="00AB6843"/>
    <w:rsid w:val="00AB6846"/>
    <w:rsid w:val="00AB6A9F"/>
    <w:rsid w:val="00AB7054"/>
    <w:rsid w:val="00AB759F"/>
    <w:rsid w:val="00AB7635"/>
    <w:rsid w:val="00AB7A61"/>
    <w:rsid w:val="00AB7AB3"/>
    <w:rsid w:val="00AB7B73"/>
    <w:rsid w:val="00AC050C"/>
    <w:rsid w:val="00AC0890"/>
    <w:rsid w:val="00AC08ED"/>
    <w:rsid w:val="00AC0BF1"/>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943"/>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144"/>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767"/>
    <w:rsid w:val="00AD79A1"/>
    <w:rsid w:val="00AD7A26"/>
    <w:rsid w:val="00AD7B00"/>
    <w:rsid w:val="00AD7CEB"/>
    <w:rsid w:val="00AD7DA2"/>
    <w:rsid w:val="00AD7E02"/>
    <w:rsid w:val="00AE015D"/>
    <w:rsid w:val="00AE01A8"/>
    <w:rsid w:val="00AE01F3"/>
    <w:rsid w:val="00AE0568"/>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70"/>
    <w:rsid w:val="00AE49A5"/>
    <w:rsid w:val="00AE49BE"/>
    <w:rsid w:val="00AE4AF0"/>
    <w:rsid w:val="00AE4B1F"/>
    <w:rsid w:val="00AE4EC4"/>
    <w:rsid w:val="00AE50CD"/>
    <w:rsid w:val="00AE50F5"/>
    <w:rsid w:val="00AE50FA"/>
    <w:rsid w:val="00AE5668"/>
    <w:rsid w:val="00AE5A66"/>
    <w:rsid w:val="00AE5F92"/>
    <w:rsid w:val="00AE6038"/>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755"/>
    <w:rsid w:val="00B01996"/>
    <w:rsid w:val="00B01E47"/>
    <w:rsid w:val="00B026C8"/>
    <w:rsid w:val="00B02DCE"/>
    <w:rsid w:val="00B02F20"/>
    <w:rsid w:val="00B030E7"/>
    <w:rsid w:val="00B03606"/>
    <w:rsid w:val="00B04AD5"/>
    <w:rsid w:val="00B05563"/>
    <w:rsid w:val="00B05BB7"/>
    <w:rsid w:val="00B05E68"/>
    <w:rsid w:val="00B05F95"/>
    <w:rsid w:val="00B05FD0"/>
    <w:rsid w:val="00B0614D"/>
    <w:rsid w:val="00B06288"/>
    <w:rsid w:val="00B06BCB"/>
    <w:rsid w:val="00B06D0C"/>
    <w:rsid w:val="00B0706A"/>
    <w:rsid w:val="00B071A3"/>
    <w:rsid w:val="00B076E2"/>
    <w:rsid w:val="00B07ADA"/>
    <w:rsid w:val="00B07E36"/>
    <w:rsid w:val="00B10075"/>
    <w:rsid w:val="00B10EBA"/>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416A"/>
    <w:rsid w:val="00B14307"/>
    <w:rsid w:val="00B1456F"/>
    <w:rsid w:val="00B145BF"/>
    <w:rsid w:val="00B147B4"/>
    <w:rsid w:val="00B1541A"/>
    <w:rsid w:val="00B15609"/>
    <w:rsid w:val="00B157F1"/>
    <w:rsid w:val="00B15EB0"/>
    <w:rsid w:val="00B16592"/>
    <w:rsid w:val="00B16804"/>
    <w:rsid w:val="00B16975"/>
    <w:rsid w:val="00B16A81"/>
    <w:rsid w:val="00B16E7C"/>
    <w:rsid w:val="00B1700D"/>
    <w:rsid w:val="00B176F4"/>
    <w:rsid w:val="00B177A8"/>
    <w:rsid w:val="00B17A96"/>
    <w:rsid w:val="00B17BF1"/>
    <w:rsid w:val="00B200C9"/>
    <w:rsid w:val="00B2084E"/>
    <w:rsid w:val="00B209B3"/>
    <w:rsid w:val="00B20A4E"/>
    <w:rsid w:val="00B20D03"/>
    <w:rsid w:val="00B20EA3"/>
    <w:rsid w:val="00B21590"/>
    <w:rsid w:val="00B217A9"/>
    <w:rsid w:val="00B21880"/>
    <w:rsid w:val="00B21CFF"/>
    <w:rsid w:val="00B21F10"/>
    <w:rsid w:val="00B22110"/>
    <w:rsid w:val="00B22639"/>
    <w:rsid w:val="00B227D0"/>
    <w:rsid w:val="00B228E8"/>
    <w:rsid w:val="00B22B71"/>
    <w:rsid w:val="00B22C08"/>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05E"/>
    <w:rsid w:val="00B26249"/>
    <w:rsid w:val="00B2638A"/>
    <w:rsid w:val="00B26939"/>
    <w:rsid w:val="00B26994"/>
    <w:rsid w:val="00B26D16"/>
    <w:rsid w:val="00B26DC9"/>
    <w:rsid w:val="00B26F7D"/>
    <w:rsid w:val="00B26FDE"/>
    <w:rsid w:val="00B2745A"/>
    <w:rsid w:val="00B276E6"/>
    <w:rsid w:val="00B27B85"/>
    <w:rsid w:val="00B27C0E"/>
    <w:rsid w:val="00B27D8E"/>
    <w:rsid w:val="00B27EBB"/>
    <w:rsid w:val="00B3009D"/>
    <w:rsid w:val="00B30610"/>
    <w:rsid w:val="00B30967"/>
    <w:rsid w:val="00B30BDD"/>
    <w:rsid w:val="00B30E13"/>
    <w:rsid w:val="00B3134F"/>
    <w:rsid w:val="00B315A3"/>
    <w:rsid w:val="00B31D4E"/>
    <w:rsid w:val="00B323F3"/>
    <w:rsid w:val="00B324CB"/>
    <w:rsid w:val="00B32C25"/>
    <w:rsid w:val="00B32F9C"/>
    <w:rsid w:val="00B33091"/>
    <w:rsid w:val="00B333E1"/>
    <w:rsid w:val="00B339B6"/>
    <w:rsid w:val="00B33BFF"/>
    <w:rsid w:val="00B33EE9"/>
    <w:rsid w:val="00B34734"/>
    <w:rsid w:val="00B34738"/>
    <w:rsid w:val="00B34813"/>
    <w:rsid w:val="00B348CD"/>
    <w:rsid w:val="00B348EF"/>
    <w:rsid w:val="00B34E28"/>
    <w:rsid w:val="00B35216"/>
    <w:rsid w:val="00B3533E"/>
    <w:rsid w:val="00B354B1"/>
    <w:rsid w:val="00B35519"/>
    <w:rsid w:val="00B356AF"/>
    <w:rsid w:val="00B35763"/>
    <w:rsid w:val="00B35A91"/>
    <w:rsid w:val="00B35D35"/>
    <w:rsid w:val="00B361F2"/>
    <w:rsid w:val="00B36782"/>
    <w:rsid w:val="00B36F93"/>
    <w:rsid w:val="00B370FB"/>
    <w:rsid w:val="00B3729B"/>
    <w:rsid w:val="00B37BDE"/>
    <w:rsid w:val="00B37E2F"/>
    <w:rsid w:val="00B400C8"/>
    <w:rsid w:val="00B40861"/>
    <w:rsid w:val="00B41634"/>
    <w:rsid w:val="00B41741"/>
    <w:rsid w:val="00B41A6D"/>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5E"/>
    <w:rsid w:val="00B45E73"/>
    <w:rsid w:val="00B463F1"/>
    <w:rsid w:val="00B46450"/>
    <w:rsid w:val="00B47B48"/>
    <w:rsid w:val="00B5011D"/>
    <w:rsid w:val="00B501A0"/>
    <w:rsid w:val="00B501B8"/>
    <w:rsid w:val="00B50487"/>
    <w:rsid w:val="00B506A2"/>
    <w:rsid w:val="00B506BC"/>
    <w:rsid w:val="00B50797"/>
    <w:rsid w:val="00B507F9"/>
    <w:rsid w:val="00B50BBF"/>
    <w:rsid w:val="00B50EE8"/>
    <w:rsid w:val="00B50F51"/>
    <w:rsid w:val="00B51325"/>
    <w:rsid w:val="00B513C9"/>
    <w:rsid w:val="00B513E5"/>
    <w:rsid w:val="00B51584"/>
    <w:rsid w:val="00B51589"/>
    <w:rsid w:val="00B52191"/>
    <w:rsid w:val="00B522BE"/>
    <w:rsid w:val="00B524A2"/>
    <w:rsid w:val="00B524FA"/>
    <w:rsid w:val="00B52815"/>
    <w:rsid w:val="00B52AEC"/>
    <w:rsid w:val="00B52D09"/>
    <w:rsid w:val="00B52D80"/>
    <w:rsid w:val="00B53200"/>
    <w:rsid w:val="00B532EB"/>
    <w:rsid w:val="00B53820"/>
    <w:rsid w:val="00B543D1"/>
    <w:rsid w:val="00B547D1"/>
    <w:rsid w:val="00B548D9"/>
    <w:rsid w:val="00B55244"/>
    <w:rsid w:val="00B55252"/>
    <w:rsid w:val="00B554BA"/>
    <w:rsid w:val="00B554EE"/>
    <w:rsid w:val="00B55904"/>
    <w:rsid w:val="00B55FEB"/>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0DEF"/>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E10"/>
    <w:rsid w:val="00B8633D"/>
    <w:rsid w:val="00B86541"/>
    <w:rsid w:val="00B866B1"/>
    <w:rsid w:val="00B867D8"/>
    <w:rsid w:val="00B86858"/>
    <w:rsid w:val="00B86AC7"/>
    <w:rsid w:val="00B87004"/>
    <w:rsid w:val="00B871B8"/>
    <w:rsid w:val="00B871F2"/>
    <w:rsid w:val="00B872AE"/>
    <w:rsid w:val="00B874EF"/>
    <w:rsid w:val="00B87688"/>
    <w:rsid w:val="00B876CF"/>
    <w:rsid w:val="00B87749"/>
    <w:rsid w:val="00B8783E"/>
    <w:rsid w:val="00B87C9E"/>
    <w:rsid w:val="00B87D0C"/>
    <w:rsid w:val="00B904CD"/>
    <w:rsid w:val="00B90525"/>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E38"/>
    <w:rsid w:val="00BA004E"/>
    <w:rsid w:val="00BA0071"/>
    <w:rsid w:val="00BA0205"/>
    <w:rsid w:val="00BA0343"/>
    <w:rsid w:val="00BA095A"/>
    <w:rsid w:val="00BA0FA9"/>
    <w:rsid w:val="00BA129A"/>
    <w:rsid w:val="00BA171A"/>
    <w:rsid w:val="00BA1E74"/>
    <w:rsid w:val="00BA222B"/>
    <w:rsid w:val="00BA2663"/>
    <w:rsid w:val="00BA26D6"/>
    <w:rsid w:val="00BA27AE"/>
    <w:rsid w:val="00BA315E"/>
    <w:rsid w:val="00BA3721"/>
    <w:rsid w:val="00BA381F"/>
    <w:rsid w:val="00BA39EB"/>
    <w:rsid w:val="00BA3AB7"/>
    <w:rsid w:val="00BA3E48"/>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018E"/>
    <w:rsid w:val="00BB14AE"/>
    <w:rsid w:val="00BB205C"/>
    <w:rsid w:val="00BB2694"/>
    <w:rsid w:val="00BB28C6"/>
    <w:rsid w:val="00BB352F"/>
    <w:rsid w:val="00BB35F0"/>
    <w:rsid w:val="00BB38BF"/>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D1"/>
    <w:rsid w:val="00BC12DB"/>
    <w:rsid w:val="00BC1472"/>
    <w:rsid w:val="00BC1761"/>
    <w:rsid w:val="00BC188A"/>
    <w:rsid w:val="00BC1B37"/>
    <w:rsid w:val="00BC1B3A"/>
    <w:rsid w:val="00BC1CB1"/>
    <w:rsid w:val="00BC1DB4"/>
    <w:rsid w:val="00BC2301"/>
    <w:rsid w:val="00BC25CA"/>
    <w:rsid w:val="00BC28A0"/>
    <w:rsid w:val="00BC2B8A"/>
    <w:rsid w:val="00BC311A"/>
    <w:rsid w:val="00BC3855"/>
    <w:rsid w:val="00BC390C"/>
    <w:rsid w:val="00BC3CC2"/>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2CE"/>
    <w:rsid w:val="00BD1354"/>
    <w:rsid w:val="00BD13D3"/>
    <w:rsid w:val="00BD1D36"/>
    <w:rsid w:val="00BD1F86"/>
    <w:rsid w:val="00BD2011"/>
    <w:rsid w:val="00BD217F"/>
    <w:rsid w:val="00BD22B5"/>
    <w:rsid w:val="00BD22FE"/>
    <w:rsid w:val="00BD26C8"/>
    <w:rsid w:val="00BD26CB"/>
    <w:rsid w:val="00BD271B"/>
    <w:rsid w:val="00BD27D8"/>
    <w:rsid w:val="00BD2C60"/>
    <w:rsid w:val="00BD3415"/>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970"/>
    <w:rsid w:val="00BD5CCE"/>
    <w:rsid w:val="00BD6832"/>
    <w:rsid w:val="00BD6B89"/>
    <w:rsid w:val="00BD6BB9"/>
    <w:rsid w:val="00BD70C3"/>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51A"/>
    <w:rsid w:val="00BE2655"/>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193"/>
    <w:rsid w:val="00BE643D"/>
    <w:rsid w:val="00BE6846"/>
    <w:rsid w:val="00BE68A7"/>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4C7"/>
    <w:rsid w:val="00BF55DF"/>
    <w:rsid w:val="00BF570C"/>
    <w:rsid w:val="00BF5AA7"/>
    <w:rsid w:val="00BF60FB"/>
    <w:rsid w:val="00BF64E5"/>
    <w:rsid w:val="00BF655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406"/>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76E0"/>
    <w:rsid w:val="00C07701"/>
    <w:rsid w:val="00C0771E"/>
    <w:rsid w:val="00C07AF5"/>
    <w:rsid w:val="00C07CC0"/>
    <w:rsid w:val="00C101A3"/>
    <w:rsid w:val="00C107D5"/>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D4"/>
    <w:rsid w:val="00C20FF9"/>
    <w:rsid w:val="00C2100E"/>
    <w:rsid w:val="00C212C9"/>
    <w:rsid w:val="00C2149C"/>
    <w:rsid w:val="00C21769"/>
    <w:rsid w:val="00C217EA"/>
    <w:rsid w:val="00C226B7"/>
    <w:rsid w:val="00C22708"/>
    <w:rsid w:val="00C22BFA"/>
    <w:rsid w:val="00C234A4"/>
    <w:rsid w:val="00C23533"/>
    <w:rsid w:val="00C23796"/>
    <w:rsid w:val="00C23B08"/>
    <w:rsid w:val="00C23D81"/>
    <w:rsid w:val="00C24293"/>
    <w:rsid w:val="00C2433A"/>
    <w:rsid w:val="00C24836"/>
    <w:rsid w:val="00C24C72"/>
    <w:rsid w:val="00C24E87"/>
    <w:rsid w:val="00C2531B"/>
    <w:rsid w:val="00C25C1E"/>
    <w:rsid w:val="00C26092"/>
    <w:rsid w:val="00C26163"/>
    <w:rsid w:val="00C26397"/>
    <w:rsid w:val="00C263EF"/>
    <w:rsid w:val="00C264A5"/>
    <w:rsid w:val="00C266C9"/>
    <w:rsid w:val="00C26B24"/>
    <w:rsid w:val="00C26BBD"/>
    <w:rsid w:val="00C26BFB"/>
    <w:rsid w:val="00C26EDC"/>
    <w:rsid w:val="00C272DF"/>
    <w:rsid w:val="00C27B12"/>
    <w:rsid w:val="00C3008F"/>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EDC"/>
    <w:rsid w:val="00C3722D"/>
    <w:rsid w:val="00C372A7"/>
    <w:rsid w:val="00C37314"/>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633"/>
    <w:rsid w:val="00C457F0"/>
    <w:rsid w:val="00C45855"/>
    <w:rsid w:val="00C45A5C"/>
    <w:rsid w:val="00C45ADC"/>
    <w:rsid w:val="00C465D7"/>
    <w:rsid w:val="00C4685D"/>
    <w:rsid w:val="00C46965"/>
    <w:rsid w:val="00C46E22"/>
    <w:rsid w:val="00C47AE5"/>
    <w:rsid w:val="00C47AF4"/>
    <w:rsid w:val="00C47C6F"/>
    <w:rsid w:val="00C47D35"/>
    <w:rsid w:val="00C5034C"/>
    <w:rsid w:val="00C503DB"/>
    <w:rsid w:val="00C50523"/>
    <w:rsid w:val="00C5076C"/>
    <w:rsid w:val="00C50ED9"/>
    <w:rsid w:val="00C51242"/>
    <w:rsid w:val="00C51278"/>
    <w:rsid w:val="00C512C4"/>
    <w:rsid w:val="00C513AE"/>
    <w:rsid w:val="00C516CF"/>
    <w:rsid w:val="00C51863"/>
    <w:rsid w:val="00C51A40"/>
    <w:rsid w:val="00C51CE9"/>
    <w:rsid w:val="00C51D41"/>
    <w:rsid w:val="00C51D56"/>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5FC1"/>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5D3"/>
    <w:rsid w:val="00C676C2"/>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6924"/>
    <w:rsid w:val="00C872E0"/>
    <w:rsid w:val="00C87549"/>
    <w:rsid w:val="00C8792E"/>
    <w:rsid w:val="00C879DB"/>
    <w:rsid w:val="00C87B89"/>
    <w:rsid w:val="00C87C6A"/>
    <w:rsid w:val="00C87F61"/>
    <w:rsid w:val="00C903C8"/>
    <w:rsid w:val="00C908D2"/>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060"/>
    <w:rsid w:val="00C9626D"/>
    <w:rsid w:val="00C9642D"/>
    <w:rsid w:val="00C96450"/>
    <w:rsid w:val="00C967C7"/>
    <w:rsid w:val="00C96A50"/>
    <w:rsid w:val="00C96CDA"/>
    <w:rsid w:val="00C96FA3"/>
    <w:rsid w:val="00C97059"/>
    <w:rsid w:val="00C9712C"/>
    <w:rsid w:val="00C974ED"/>
    <w:rsid w:val="00C97535"/>
    <w:rsid w:val="00C975CB"/>
    <w:rsid w:val="00C97E20"/>
    <w:rsid w:val="00CA0065"/>
    <w:rsid w:val="00CA03FE"/>
    <w:rsid w:val="00CA05F9"/>
    <w:rsid w:val="00CA0CC0"/>
    <w:rsid w:val="00CA1726"/>
    <w:rsid w:val="00CA172E"/>
    <w:rsid w:val="00CA1761"/>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41F"/>
    <w:rsid w:val="00CA4438"/>
    <w:rsid w:val="00CA46A4"/>
    <w:rsid w:val="00CA47A1"/>
    <w:rsid w:val="00CA47B4"/>
    <w:rsid w:val="00CA4C4B"/>
    <w:rsid w:val="00CA4D28"/>
    <w:rsid w:val="00CA4E54"/>
    <w:rsid w:val="00CA54F7"/>
    <w:rsid w:val="00CA57EB"/>
    <w:rsid w:val="00CA5898"/>
    <w:rsid w:val="00CA59BC"/>
    <w:rsid w:val="00CA5ADF"/>
    <w:rsid w:val="00CA5C32"/>
    <w:rsid w:val="00CA5CEE"/>
    <w:rsid w:val="00CA5E4C"/>
    <w:rsid w:val="00CA6AE0"/>
    <w:rsid w:val="00CA6F1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E20"/>
    <w:rsid w:val="00CB3054"/>
    <w:rsid w:val="00CB3416"/>
    <w:rsid w:val="00CB3503"/>
    <w:rsid w:val="00CB4130"/>
    <w:rsid w:val="00CB41FE"/>
    <w:rsid w:val="00CB47B1"/>
    <w:rsid w:val="00CB47CA"/>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F1B"/>
    <w:rsid w:val="00CC59D1"/>
    <w:rsid w:val="00CC5AE1"/>
    <w:rsid w:val="00CC5D53"/>
    <w:rsid w:val="00CC60E2"/>
    <w:rsid w:val="00CC61B7"/>
    <w:rsid w:val="00CC6269"/>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AC8"/>
    <w:rsid w:val="00CE0AD0"/>
    <w:rsid w:val="00CE11CE"/>
    <w:rsid w:val="00CE1229"/>
    <w:rsid w:val="00CE1566"/>
    <w:rsid w:val="00CE1A95"/>
    <w:rsid w:val="00CE25DE"/>
    <w:rsid w:val="00CE2660"/>
    <w:rsid w:val="00CE28B0"/>
    <w:rsid w:val="00CE2970"/>
    <w:rsid w:val="00CE29FC"/>
    <w:rsid w:val="00CE31F7"/>
    <w:rsid w:val="00CE32A9"/>
    <w:rsid w:val="00CE34E3"/>
    <w:rsid w:val="00CE3734"/>
    <w:rsid w:val="00CE37C7"/>
    <w:rsid w:val="00CE39CE"/>
    <w:rsid w:val="00CE3DE4"/>
    <w:rsid w:val="00CE3EFE"/>
    <w:rsid w:val="00CE4AE3"/>
    <w:rsid w:val="00CE52F1"/>
    <w:rsid w:val="00CE5536"/>
    <w:rsid w:val="00CE56B5"/>
    <w:rsid w:val="00CE591A"/>
    <w:rsid w:val="00CE5985"/>
    <w:rsid w:val="00CE60F0"/>
    <w:rsid w:val="00CE6397"/>
    <w:rsid w:val="00CE726F"/>
    <w:rsid w:val="00CE769D"/>
    <w:rsid w:val="00CE7834"/>
    <w:rsid w:val="00CE7ED1"/>
    <w:rsid w:val="00CE7FD1"/>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4060"/>
    <w:rsid w:val="00D044BF"/>
    <w:rsid w:val="00D04A77"/>
    <w:rsid w:val="00D04C50"/>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3100"/>
    <w:rsid w:val="00D13412"/>
    <w:rsid w:val="00D13427"/>
    <w:rsid w:val="00D1372A"/>
    <w:rsid w:val="00D139EB"/>
    <w:rsid w:val="00D13B9C"/>
    <w:rsid w:val="00D13BEB"/>
    <w:rsid w:val="00D13EAB"/>
    <w:rsid w:val="00D150C0"/>
    <w:rsid w:val="00D153EC"/>
    <w:rsid w:val="00D15662"/>
    <w:rsid w:val="00D1585E"/>
    <w:rsid w:val="00D161BA"/>
    <w:rsid w:val="00D1621E"/>
    <w:rsid w:val="00D169ED"/>
    <w:rsid w:val="00D16C43"/>
    <w:rsid w:val="00D16D08"/>
    <w:rsid w:val="00D1705D"/>
    <w:rsid w:val="00D17155"/>
    <w:rsid w:val="00D172C6"/>
    <w:rsid w:val="00D174D0"/>
    <w:rsid w:val="00D17A17"/>
    <w:rsid w:val="00D17C3F"/>
    <w:rsid w:val="00D20205"/>
    <w:rsid w:val="00D2031D"/>
    <w:rsid w:val="00D208CC"/>
    <w:rsid w:val="00D20973"/>
    <w:rsid w:val="00D20CFE"/>
    <w:rsid w:val="00D2101A"/>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87E"/>
    <w:rsid w:val="00D25F9E"/>
    <w:rsid w:val="00D265F6"/>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18F2"/>
    <w:rsid w:val="00D42083"/>
    <w:rsid w:val="00D42A70"/>
    <w:rsid w:val="00D4316A"/>
    <w:rsid w:val="00D431C7"/>
    <w:rsid w:val="00D431ED"/>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9B0"/>
    <w:rsid w:val="00D55C28"/>
    <w:rsid w:val="00D55FCA"/>
    <w:rsid w:val="00D561BB"/>
    <w:rsid w:val="00D567F3"/>
    <w:rsid w:val="00D569F7"/>
    <w:rsid w:val="00D569FB"/>
    <w:rsid w:val="00D56C38"/>
    <w:rsid w:val="00D56C3B"/>
    <w:rsid w:val="00D570A7"/>
    <w:rsid w:val="00D572E0"/>
    <w:rsid w:val="00D5769C"/>
    <w:rsid w:val="00D57716"/>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1DF4"/>
    <w:rsid w:val="00D622CF"/>
    <w:rsid w:val="00D62ECE"/>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2E25"/>
    <w:rsid w:val="00D7322B"/>
    <w:rsid w:val="00D735DB"/>
    <w:rsid w:val="00D73787"/>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9B2"/>
    <w:rsid w:val="00D92F29"/>
    <w:rsid w:val="00D933C0"/>
    <w:rsid w:val="00D93B86"/>
    <w:rsid w:val="00D93C29"/>
    <w:rsid w:val="00D93CF4"/>
    <w:rsid w:val="00D93E29"/>
    <w:rsid w:val="00D942D6"/>
    <w:rsid w:val="00D944DA"/>
    <w:rsid w:val="00D947EB"/>
    <w:rsid w:val="00D9481D"/>
    <w:rsid w:val="00D94DE1"/>
    <w:rsid w:val="00D95007"/>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167"/>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307"/>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F19"/>
    <w:rsid w:val="00DD503F"/>
    <w:rsid w:val="00DD5056"/>
    <w:rsid w:val="00DD527C"/>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6B4"/>
    <w:rsid w:val="00DE6A3C"/>
    <w:rsid w:val="00DE6C19"/>
    <w:rsid w:val="00DE6E70"/>
    <w:rsid w:val="00DE7486"/>
    <w:rsid w:val="00DE74B8"/>
    <w:rsid w:val="00DE759A"/>
    <w:rsid w:val="00DE78B0"/>
    <w:rsid w:val="00DE7A0B"/>
    <w:rsid w:val="00DE7A23"/>
    <w:rsid w:val="00DE7A42"/>
    <w:rsid w:val="00DF0133"/>
    <w:rsid w:val="00DF0328"/>
    <w:rsid w:val="00DF03E2"/>
    <w:rsid w:val="00DF0795"/>
    <w:rsid w:val="00DF08AE"/>
    <w:rsid w:val="00DF0943"/>
    <w:rsid w:val="00DF0F89"/>
    <w:rsid w:val="00DF14D2"/>
    <w:rsid w:val="00DF16D8"/>
    <w:rsid w:val="00DF180D"/>
    <w:rsid w:val="00DF1C99"/>
    <w:rsid w:val="00DF1F18"/>
    <w:rsid w:val="00DF1FE1"/>
    <w:rsid w:val="00DF2015"/>
    <w:rsid w:val="00DF204E"/>
    <w:rsid w:val="00DF27D8"/>
    <w:rsid w:val="00DF2DC0"/>
    <w:rsid w:val="00DF2EE0"/>
    <w:rsid w:val="00DF3577"/>
    <w:rsid w:val="00DF3724"/>
    <w:rsid w:val="00DF3941"/>
    <w:rsid w:val="00DF3DE4"/>
    <w:rsid w:val="00DF3ED9"/>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B6"/>
    <w:rsid w:val="00E0469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9F7"/>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643"/>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FA2"/>
    <w:rsid w:val="00E4107B"/>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D55"/>
    <w:rsid w:val="00E44FAC"/>
    <w:rsid w:val="00E452BA"/>
    <w:rsid w:val="00E452ED"/>
    <w:rsid w:val="00E4566F"/>
    <w:rsid w:val="00E460C5"/>
    <w:rsid w:val="00E465D4"/>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AB0"/>
    <w:rsid w:val="00E52283"/>
    <w:rsid w:val="00E52828"/>
    <w:rsid w:val="00E5352C"/>
    <w:rsid w:val="00E53F48"/>
    <w:rsid w:val="00E54373"/>
    <w:rsid w:val="00E547FD"/>
    <w:rsid w:val="00E54E3E"/>
    <w:rsid w:val="00E550F5"/>
    <w:rsid w:val="00E5539E"/>
    <w:rsid w:val="00E559D1"/>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27F"/>
    <w:rsid w:val="00E643AF"/>
    <w:rsid w:val="00E6495E"/>
    <w:rsid w:val="00E64ABD"/>
    <w:rsid w:val="00E64BD7"/>
    <w:rsid w:val="00E6513A"/>
    <w:rsid w:val="00E6513C"/>
    <w:rsid w:val="00E6570D"/>
    <w:rsid w:val="00E65895"/>
    <w:rsid w:val="00E658C3"/>
    <w:rsid w:val="00E658C5"/>
    <w:rsid w:val="00E65BDE"/>
    <w:rsid w:val="00E65DBE"/>
    <w:rsid w:val="00E65FC5"/>
    <w:rsid w:val="00E662C5"/>
    <w:rsid w:val="00E66961"/>
    <w:rsid w:val="00E66CC8"/>
    <w:rsid w:val="00E6797F"/>
    <w:rsid w:val="00E6799A"/>
    <w:rsid w:val="00E67A26"/>
    <w:rsid w:val="00E67BEF"/>
    <w:rsid w:val="00E703AA"/>
    <w:rsid w:val="00E70C38"/>
    <w:rsid w:val="00E70D83"/>
    <w:rsid w:val="00E71591"/>
    <w:rsid w:val="00E71CBB"/>
    <w:rsid w:val="00E728C4"/>
    <w:rsid w:val="00E72DF1"/>
    <w:rsid w:val="00E72FBB"/>
    <w:rsid w:val="00E731D0"/>
    <w:rsid w:val="00E7327B"/>
    <w:rsid w:val="00E73405"/>
    <w:rsid w:val="00E7350E"/>
    <w:rsid w:val="00E73640"/>
    <w:rsid w:val="00E7381E"/>
    <w:rsid w:val="00E73853"/>
    <w:rsid w:val="00E73BA5"/>
    <w:rsid w:val="00E7411F"/>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5D9"/>
    <w:rsid w:val="00E80B0B"/>
    <w:rsid w:val="00E8123C"/>
    <w:rsid w:val="00E81391"/>
    <w:rsid w:val="00E81BD8"/>
    <w:rsid w:val="00E81D12"/>
    <w:rsid w:val="00E81EB4"/>
    <w:rsid w:val="00E82294"/>
    <w:rsid w:val="00E825C4"/>
    <w:rsid w:val="00E83084"/>
    <w:rsid w:val="00E83D34"/>
    <w:rsid w:val="00E83D59"/>
    <w:rsid w:val="00E84D35"/>
    <w:rsid w:val="00E84FFD"/>
    <w:rsid w:val="00E850E7"/>
    <w:rsid w:val="00E85174"/>
    <w:rsid w:val="00E85A6E"/>
    <w:rsid w:val="00E85A78"/>
    <w:rsid w:val="00E85B28"/>
    <w:rsid w:val="00E86449"/>
    <w:rsid w:val="00E86523"/>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4F0F"/>
    <w:rsid w:val="00E950BE"/>
    <w:rsid w:val="00E9530D"/>
    <w:rsid w:val="00E95685"/>
    <w:rsid w:val="00E95D8C"/>
    <w:rsid w:val="00E9617D"/>
    <w:rsid w:val="00E961DB"/>
    <w:rsid w:val="00E96480"/>
    <w:rsid w:val="00E96604"/>
    <w:rsid w:val="00E967BA"/>
    <w:rsid w:val="00E967EF"/>
    <w:rsid w:val="00E969AA"/>
    <w:rsid w:val="00E96A67"/>
    <w:rsid w:val="00E96D38"/>
    <w:rsid w:val="00E971F3"/>
    <w:rsid w:val="00E97540"/>
    <w:rsid w:val="00E97B5D"/>
    <w:rsid w:val="00E97FE7"/>
    <w:rsid w:val="00EA0240"/>
    <w:rsid w:val="00EA04D4"/>
    <w:rsid w:val="00EA077C"/>
    <w:rsid w:val="00EA0798"/>
    <w:rsid w:val="00EA0C14"/>
    <w:rsid w:val="00EA0DE7"/>
    <w:rsid w:val="00EA1258"/>
    <w:rsid w:val="00EA13D6"/>
    <w:rsid w:val="00EA1B50"/>
    <w:rsid w:val="00EA1C23"/>
    <w:rsid w:val="00EA21E7"/>
    <w:rsid w:val="00EA2277"/>
    <w:rsid w:val="00EA2806"/>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A48"/>
    <w:rsid w:val="00EA5BF1"/>
    <w:rsid w:val="00EA60B7"/>
    <w:rsid w:val="00EA6440"/>
    <w:rsid w:val="00EA6525"/>
    <w:rsid w:val="00EA6D13"/>
    <w:rsid w:val="00EA6E11"/>
    <w:rsid w:val="00EA70D6"/>
    <w:rsid w:val="00EA70E1"/>
    <w:rsid w:val="00EA7327"/>
    <w:rsid w:val="00EA77B2"/>
    <w:rsid w:val="00EA77B6"/>
    <w:rsid w:val="00EA7D7E"/>
    <w:rsid w:val="00EA7E99"/>
    <w:rsid w:val="00EB0212"/>
    <w:rsid w:val="00EB05E8"/>
    <w:rsid w:val="00EB066B"/>
    <w:rsid w:val="00EB0C35"/>
    <w:rsid w:val="00EB0FCB"/>
    <w:rsid w:val="00EB1259"/>
    <w:rsid w:val="00EB1939"/>
    <w:rsid w:val="00EB19C3"/>
    <w:rsid w:val="00EB1D37"/>
    <w:rsid w:val="00EB228E"/>
    <w:rsid w:val="00EB22D4"/>
    <w:rsid w:val="00EB2823"/>
    <w:rsid w:val="00EB28EE"/>
    <w:rsid w:val="00EB2915"/>
    <w:rsid w:val="00EB2D5E"/>
    <w:rsid w:val="00EB3785"/>
    <w:rsid w:val="00EB37CE"/>
    <w:rsid w:val="00EB398C"/>
    <w:rsid w:val="00EB3BAD"/>
    <w:rsid w:val="00EB3CF0"/>
    <w:rsid w:val="00EB4067"/>
    <w:rsid w:val="00EB450C"/>
    <w:rsid w:val="00EB4A7B"/>
    <w:rsid w:val="00EB4D43"/>
    <w:rsid w:val="00EB4DAC"/>
    <w:rsid w:val="00EB4FE8"/>
    <w:rsid w:val="00EB50D6"/>
    <w:rsid w:val="00EB5333"/>
    <w:rsid w:val="00EB580E"/>
    <w:rsid w:val="00EB5A9B"/>
    <w:rsid w:val="00EB5BCD"/>
    <w:rsid w:val="00EB5C1F"/>
    <w:rsid w:val="00EB6096"/>
    <w:rsid w:val="00EB6B86"/>
    <w:rsid w:val="00EB6D3C"/>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285"/>
    <w:rsid w:val="00EC46C8"/>
    <w:rsid w:val="00EC4F2F"/>
    <w:rsid w:val="00EC5074"/>
    <w:rsid w:val="00EC5289"/>
    <w:rsid w:val="00EC57F6"/>
    <w:rsid w:val="00EC58A1"/>
    <w:rsid w:val="00EC5E4D"/>
    <w:rsid w:val="00EC6033"/>
    <w:rsid w:val="00EC6221"/>
    <w:rsid w:val="00EC670E"/>
    <w:rsid w:val="00EC6780"/>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192"/>
    <w:rsid w:val="00ED24EB"/>
    <w:rsid w:val="00ED25C1"/>
    <w:rsid w:val="00ED2BF9"/>
    <w:rsid w:val="00ED2DCB"/>
    <w:rsid w:val="00ED31D3"/>
    <w:rsid w:val="00ED31EE"/>
    <w:rsid w:val="00ED39FD"/>
    <w:rsid w:val="00ED3B56"/>
    <w:rsid w:val="00ED3CC0"/>
    <w:rsid w:val="00ED408A"/>
    <w:rsid w:val="00ED4782"/>
    <w:rsid w:val="00ED48A7"/>
    <w:rsid w:val="00ED4D25"/>
    <w:rsid w:val="00ED4EF0"/>
    <w:rsid w:val="00ED5084"/>
    <w:rsid w:val="00ED51B5"/>
    <w:rsid w:val="00ED51C3"/>
    <w:rsid w:val="00ED534F"/>
    <w:rsid w:val="00ED5F52"/>
    <w:rsid w:val="00ED69E3"/>
    <w:rsid w:val="00ED6C96"/>
    <w:rsid w:val="00ED7525"/>
    <w:rsid w:val="00ED7BB8"/>
    <w:rsid w:val="00EE008D"/>
    <w:rsid w:val="00EE0119"/>
    <w:rsid w:val="00EE04EB"/>
    <w:rsid w:val="00EE0570"/>
    <w:rsid w:val="00EE05A0"/>
    <w:rsid w:val="00EE0B08"/>
    <w:rsid w:val="00EE13F8"/>
    <w:rsid w:val="00EE1AFD"/>
    <w:rsid w:val="00EE23A1"/>
    <w:rsid w:val="00EE2770"/>
    <w:rsid w:val="00EE28A5"/>
    <w:rsid w:val="00EE29A4"/>
    <w:rsid w:val="00EE29B6"/>
    <w:rsid w:val="00EE2A49"/>
    <w:rsid w:val="00EE3695"/>
    <w:rsid w:val="00EE3B4E"/>
    <w:rsid w:val="00EE3E84"/>
    <w:rsid w:val="00EE41CB"/>
    <w:rsid w:val="00EE4688"/>
    <w:rsid w:val="00EE4F06"/>
    <w:rsid w:val="00EE5353"/>
    <w:rsid w:val="00EE56FF"/>
    <w:rsid w:val="00EE5829"/>
    <w:rsid w:val="00EE5B67"/>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A78"/>
    <w:rsid w:val="00EF1F1B"/>
    <w:rsid w:val="00EF1FCF"/>
    <w:rsid w:val="00EF22B0"/>
    <w:rsid w:val="00EF25F2"/>
    <w:rsid w:val="00EF29EA"/>
    <w:rsid w:val="00EF2C5C"/>
    <w:rsid w:val="00EF2D62"/>
    <w:rsid w:val="00EF2DBE"/>
    <w:rsid w:val="00EF2EF0"/>
    <w:rsid w:val="00EF320B"/>
    <w:rsid w:val="00EF345D"/>
    <w:rsid w:val="00EF34E6"/>
    <w:rsid w:val="00EF373F"/>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963"/>
    <w:rsid w:val="00F0336E"/>
    <w:rsid w:val="00F03464"/>
    <w:rsid w:val="00F0357F"/>
    <w:rsid w:val="00F037AD"/>
    <w:rsid w:val="00F03B6F"/>
    <w:rsid w:val="00F03D0D"/>
    <w:rsid w:val="00F03E2A"/>
    <w:rsid w:val="00F04086"/>
    <w:rsid w:val="00F04440"/>
    <w:rsid w:val="00F046C8"/>
    <w:rsid w:val="00F048B2"/>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6B27"/>
    <w:rsid w:val="00F06D22"/>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FC1"/>
    <w:rsid w:val="00F24002"/>
    <w:rsid w:val="00F24309"/>
    <w:rsid w:val="00F246E4"/>
    <w:rsid w:val="00F2475D"/>
    <w:rsid w:val="00F24970"/>
    <w:rsid w:val="00F24C0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5A"/>
    <w:rsid w:val="00F3163C"/>
    <w:rsid w:val="00F31D18"/>
    <w:rsid w:val="00F31DCE"/>
    <w:rsid w:val="00F321A9"/>
    <w:rsid w:val="00F3269A"/>
    <w:rsid w:val="00F328BB"/>
    <w:rsid w:val="00F329FB"/>
    <w:rsid w:val="00F33A4E"/>
    <w:rsid w:val="00F33F34"/>
    <w:rsid w:val="00F34369"/>
    <w:rsid w:val="00F34764"/>
    <w:rsid w:val="00F34D68"/>
    <w:rsid w:val="00F353EA"/>
    <w:rsid w:val="00F35439"/>
    <w:rsid w:val="00F357E9"/>
    <w:rsid w:val="00F357EB"/>
    <w:rsid w:val="00F35D15"/>
    <w:rsid w:val="00F35F48"/>
    <w:rsid w:val="00F361F4"/>
    <w:rsid w:val="00F36854"/>
    <w:rsid w:val="00F36A6B"/>
    <w:rsid w:val="00F36B71"/>
    <w:rsid w:val="00F36C7C"/>
    <w:rsid w:val="00F37531"/>
    <w:rsid w:val="00F37B3D"/>
    <w:rsid w:val="00F401F4"/>
    <w:rsid w:val="00F405CF"/>
    <w:rsid w:val="00F4111A"/>
    <w:rsid w:val="00F41441"/>
    <w:rsid w:val="00F41714"/>
    <w:rsid w:val="00F419A1"/>
    <w:rsid w:val="00F41CE0"/>
    <w:rsid w:val="00F41E23"/>
    <w:rsid w:val="00F42027"/>
    <w:rsid w:val="00F420F6"/>
    <w:rsid w:val="00F421A5"/>
    <w:rsid w:val="00F421E6"/>
    <w:rsid w:val="00F42347"/>
    <w:rsid w:val="00F4269D"/>
    <w:rsid w:val="00F426F3"/>
    <w:rsid w:val="00F42701"/>
    <w:rsid w:val="00F427F8"/>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50174"/>
    <w:rsid w:val="00F50470"/>
    <w:rsid w:val="00F50A68"/>
    <w:rsid w:val="00F50F8B"/>
    <w:rsid w:val="00F51028"/>
    <w:rsid w:val="00F5110B"/>
    <w:rsid w:val="00F51721"/>
    <w:rsid w:val="00F51B9E"/>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3B2"/>
    <w:rsid w:val="00F567E8"/>
    <w:rsid w:val="00F56A89"/>
    <w:rsid w:val="00F56AEA"/>
    <w:rsid w:val="00F56B25"/>
    <w:rsid w:val="00F56BD9"/>
    <w:rsid w:val="00F56F13"/>
    <w:rsid w:val="00F57168"/>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B31"/>
    <w:rsid w:val="00F66C60"/>
    <w:rsid w:val="00F66CA9"/>
    <w:rsid w:val="00F67208"/>
    <w:rsid w:val="00F6752C"/>
    <w:rsid w:val="00F67A69"/>
    <w:rsid w:val="00F67B63"/>
    <w:rsid w:val="00F67D4F"/>
    <w:rsid w:val="00F67DCC"/>
    <w:rsid w:val="00F67E17"/>
    <w:rsid w:val="00F7022E"/>
    <w:rsid w:val="00F70289"/>
    <w:rsid w:val="00F704F1"/>
    <w:rsid w:val="00F709FA"/>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6C"/>
    <w:rsid w:val="00F77F96"/>
    <w:rsid w:val="00F804BA"/>
    <w:rsid w:val="00F805A2"/>
    <w:rsid w:val="00F80BE8"/>
    <w:rsid w:val="00F817A1"/>
    <w:rsid w:val="00F818EA"/>
    <w:rsid w:val="00F81E2C"/>
    <w:rsid w:val="00F81E70"/>
    <w:rsid w:val="00F821C0"/>
    <w:rsid w:val="00F82400"/>
    <w:rsid w:val="00F82462"/>
    <w:rsid w:val="00F827F9"/>
    <w:rsid w:val="00F82856"/>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7B2"/>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7"/>
    <w:rsid w:val="00F93BAB"/>
    <w:rsid w:val="00F93E81"/>
    <w:rsid w:val="00F94045"/>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A39"/>
    <w:rsid w:val="00FA2C9E"/>
    <w:rsid w:val="00FA2F02"/>
    <w:rsid w:val="00FA34B1"/>
    <w:rsid w:val="00FA3E80"/>
    <w:rsid w:val="00FA41D3"/>
    <w:rsid w:val="00FA46F6"/>
    <w:rsid w:val="00FA4B59"/>
    <w:rsid w:val="00FA5014"/>
    <w:rsid w:val="00FA50C8"/>
    <w:rsid w:val="00FA5123"/>
    <w:rsid w:val="00FA5445"/>
    <w:rsid w:val="00FA56AB"/>
    <w:rsid w:val="00FA5A6B"/>
    <w:rsid w:val="00FA5BDB"/>
    <w:rsid w:val="00FA5E7E"/>
    <w:rsid w:val="00FA5F3E"/>
    <w:rsid w:val="00FA6508"/>
    <w:rsid w:val="00FA65FA"/>
    <w:rsid w:val="00FA6F52"/>
    <w:rsid w:val="00FA7225"/>
    <w:rsid w:val="00FA73DC"/>
    <w:rsid w:val="00FA745B"/>
    <w:rsid w:val="00FA7480"/>
    <w:rsid w:val="00FA78EB"/>
    <w:rsid w:val="00FA7A83"/>
    <w:rsid w:val="00FA7F62"/>
    <w:rsid w:val="00FB023A"/>
    <w:rsid w:val="00FB0288"/>
    <w:rsid w:val="00FB03DC"/>
    <w:rsid w:val="00FB0EF8"/>
    <w:rsid w:val="00FB1189"/>
    <w:rsid w:val="00FB12A3"/>
    <w:rsid w:val="00FB163E"/>
    <w:rsid w:val="00FB1652"/>
    <w:rsid w:val="00FB1B4E"/>
    <w:rsid w:val="00FB1E36"/>
    <w:rsid w:val="00FB1E6B"/>
    <w:rsid w:val="00FB241B"/>
    <w:rsid w:val="00FB25F7"/>
    <w:rsid w:val="00FB25F8"/>
    <w:rsid w:val="00FB289F"/>
    <w:rsid w:val="00FB3047"/>
    <w:rsid w:val="00FB331E"/>
    <w:rsid w:val="00FB332E"/>
    <w:rsid w:val="00FB3562"/>
    <w:rsid w:val="00FB35EE"/>
    <w:rsid w:val="00FB3607"/>
    <w:rsid w:val="00FB3B75"/>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707F"/>
    <w:rsid w:val="00FB7614"/>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3FBE"/>
    <w:rsid w:val="00FC4027"/>
    <w:rsid w:val="00FC42E7"/>
    <w:rsid w:val="00FC4484"/>
    <w:rsid w:val="00FC472B"/>
    <w:rsid w:val="00FC49EA"/>
    <w:rsid w:val="00FC4CC6"/>
    <w:rsid w:val="00FC511A"/>
    <w:rsid w:val="00FC51D2"/>
    <w:rsid w:val="00FC5393"/>
    <w:rsid w:val="00FC548E"/>
    <w:rsid w:val="00FC5680"/>
    <w:rsid w:val="00FC5BF7"/>
    <w:rsid w:val="00FC5C82"/>
    <w:rsid w:val="00FC6CFA"/>
    <w:rsid w:val="00FC784B"/>
    <w:rsid w:val="00FC7DBC"/>
    <w:rsid w:val="00FC7EFD"/>
    <w:rsid w:val="00FD0095"/>
    <w:rsid w:val="00FD0137"/>
    <w:rsid w:val="00FD01F1"/>
    <w:rsid w:val="00FD033F"/>
    <w:rsid w:val="00FD0591"/>
    <w:rsid w:val="00FD0933"/>
    <w:rsid w:val="00FD0D03"/>
    <w:rsid w:val="00FD1141"/>
    <w:rsid w:val="00FD1583"/>
    <w:rsid w:val="00FD1826"/>
    <w:rsid w:val="00FD235D"/>
    <w:rsid w:val="00FD238F"/>
    <w:rsid w:val="00FD257A"/>
    <w:rsid w:val="00FD293E"/>
    <w:rsid w:val="00FD2BE4"/>
    <w:rsid w:val="00FD2DA0"/>
    <w:rsid w:val="00FD2DEF"/>
    <w:rsid w:val="00FD30FD"/>
    <w:rsid w:val="00FD345D"/>
    <w:rsid w:val="00FD35F3"/>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56F"/>
    <w:rsid w:val="00FD76EC"/>
    <w:rsid w:val="00FD7EB9"/>
    <w:rsid w:val="00FE005F"/>
    <w:rsid w:val="00FE00D3"/>
    <w:rsid w:val="00FE06A8"/>
    <w:rsid w:val="00FE0D7F"/>
    <w:rsid w:val="00FE0FFF"/>
    <w:rsid w:val="00FE10D6"/>
    <w:rsid w:val="00FE1220"/>
    <w:rsid w:val="00FE1235"/>
    <w:rsid w:val="00FE14B6"/>
    <w:rsid w:val="00FE185A"/>
    <w:rsid w:val="00FE279B"/>
    <w:rsid w:val="00FE2870"/>
    <w:rsid w:val="00FE2B4F"/>
    <w:rsid w:val="00FE2FE4"/>
    <w:rsid w:val="00FE2FF0"/>
    <w:rsid w:val="00FE2FF6"/>
    <w:rsid w:val="00FE313D"/>
    <w:rsid w:val="00FE3459"/>
    <w:rsid w:val="00FE3EA7"/>
    <w:rsid w:val="00FE48DB"/>
    <w:rsid w:val="00FE50E3"/>
    <w:rsid w:val="00FE5136"/>
    <w:rsid w:val="00FE54EE"/>
    <w:rsid w:val="00FE5709"/>
    <w:rsid w:val="00FE5AAB"/>
    <w:rsid w:val="00FE5D9F"/>
    <w:rsid w:val="00FE5E98"/>
    <w:rsid w:val="00FE5FAD"/>
    <w:rsid w:val="00FE6006"/>
    <w:rsid w:val="00FE65FD"/>
    <w:rsid w:val="00FE6965"/>
    <w:rsid w:val="00FE73F1"/>
    <w:rsid w:val="00FE751F"/>
    <w:rsid w:val="00FE771B"/>
    <w:rsid w:val="00FE780B"/>
    <w:rsid w:val="00FE78B6"/>
    <w:rsid w:val="00FE7CC4"/>
    <w:rsid w:val="00FF079B"/>
    <w:rsid w:val="00FF0936"/>
    <w:rsid w:val="00FF0998"/>
    <w:rsid w:val="00FF0D1A"/>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1A03720"/>
    <w:rsid w:val="0AF80C30"/>
    <w:rsid w:val="0B1146AB"/>
    <w:rsid w:val="0F40CEEE"/>
    <w:rsid w:val="16CC440F"/>
    <w:rsid w:val="1DB10096"/>
    <w:rsid w:val="264FF7B1"/>
    <w:rsid w:val="2DF0A6AD"/>
    <w:rsid w:val="31E11A8B"/>
    <w:rsid w:val="3A5B41B8"/>
    <w:rsid w:val="3F3E967E"/>
    <w:rsid w:val="4648D391"/>
    <w:rsid w:val="46814B8A"/>
    <w:rsid w:val="5007482C"/>
    <w:rsid w:val="52FDB0A6"/>
    <w:rsid w:val="577F32EA"/>
    <w:rsid w:val="585E5C12"/>
    <w:rsid w:val="5F8044D1"/>
    <w:rsid w:val="68C2D04C"/>
    <w:rsid w:val="74AF246F"/>
    <w:rsid w:val="78C61947"/>
    <w:rsid w:val="7A242D57"/>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74975868-4283-4ADE-B4AF-815D0D71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3B2"/>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18"/>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83941812">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29878417">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https://www.bankofengland.co.uk/prudential-regulation/publication/2024/november/review-of-solvency-ii-restatement-of-assimilated-law-policy-statement" TargetMode="External"/><Relationship Id="rId39" Type="http://schemas.openxmlformats.org/officeDocument/2006/relationships/hyperlink" Target="mailto:Lloyds-SolvencyReturns@lloyds.com" TargetMode="External"/><Relationship Id="rId21" Type="http://schemas.openxmlformats.org/officeDocument/2006/relationships/header" Target="header3.xml"/><Relationship Id="rId34" Type="http://schemas.openxmlformats.org/officeDocument/2006/relationships/hyperlink" Target="https://www.bankofengland.co.uk/prudential-regulation/key-initiatives/solvency-ii/technical-information" TargetMode="External"/><Relationship Id="rId42" Type="http://schemas.openxmlformats.org/officeDocument/2006/relationships/image" Target="media/image5.emf"/><Relationship Id="rId47" Type="http://schemas.openxmlformats.org/officeDocument/2006/relationships/package" Target="embeddings/Microsoft_Excel_Worksheet2.xlsx"/><Relationship Id="rId50" Type="http://schemas.openxmlformats.org/officeDocument/2006/relationships/image" Target="media/image9.emf"/><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0.jpeg"/><Relationship Id="rId29" Type="http://schemas.openxmlformats.org/officeDocument/2006/relationships/hyperlink" Target="https://assets.lloyds.com/media/fd04de25-80f8-4d72-a0c3-8af9bc6cece7/Lloyd's%20Solvency%20II%20Technical%20Provisions%20Guidance%20-%202024.pdf" TargetMode="External"/><Relationship Id="rId11" Type="http://schemas.openxmlformats.org/officeDocument/2006/relationships/footnotes" Target="footnotes.xml"/><Relationship Id="rId24" Type="http://schemas.openxmlformats.org/officeDocument/2006/relationships/hyperlink" Target="https://www.bankofengland.co.uk/prudential-regulation/publication/2024/november/review-of-solvency-ii-restatement-of-assimilated-law-policy-statement" TargetMode="External"/><Relationship Id="rId32"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37" Type="http://schemas.openxmlformats.org/officeDocument/2006/relationships/hyperlink" Target="https://www.lloyds.com/market-resources/underwriting/risk-codes" TargetMode="External"/><Relationship Id="rId40" Type="http://schemas.openxmlformats.org/officeDocument/2006/relationships/image" Target="media/image4.emf"/><Relationship Id="rId45" Type="http://schemas.openxmlformats.org/officeDocument/2006/relationships/package" Target="embeddings/Microsoft_Excel_Worksheet1.xlsx"/><Relationship Id="rId53" Type="http://schemas.openxmlformats.org/officeDocument/2006/relationships/package" Target="embeddings/Microsoft_Word_Document.docx"/><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s://assets.lloyds.com/media/fd04de25-80f8-4d72-a0c3-8af9bc6cece7/Lloyd's%20Solvency%20II%20Technical%20Provisions%20Guidance%20-%202024.pdf" TargetMode="External"/><Relationship Id="rId44" Type="http://schemas.openxmlformats.org/officeDocument/2006/relationships/image" Target="media/image6.emf"/><Relationship Id="rId52"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mailto:Lloyds-SolvencyReturns@lloyds.com" TargetMode="External"/><Relationship Id="rId30" Type="http://schemas.openxmlformats.org/officeDocument/2006/relationships/hyperlink" Target="https://assets.lloyds.com/media/57a17403-c9b4-4ac9-873c-157c176c27b5/Y4920.pdf" TargetMode="External"/><Relationship Id="rId35" Type="http://schemas.openxmlformats.org/officeDocument/2006/relationships/hyperlink" Target="https://assets.lloyds.com/media/fd04de25-80f8-4d72-a0c3-8af9bc6cece7/Lloyd's%20Solvency%20II%20Technical%20Provisions%20Guidance%20-%202024.pdf" TargetMode="External"/><Relationship Id="rId43" Type="http://schemas.openxmlformats.org/officeDocument/2006/relationships/oleObject" Target="embeddings/Microsoft_Word_97_-_2003_Document.doc"/><Relationship Id="rId48" Type="http://schemas.openxmlformats.org/officeDocument/2006/relationships/image" Target="media/image8.emf"/><Relationship Id="rId8" Type="http://schemas.openxmlformats.org/officeDocument/2006/relationships/styles" Target="styles.xml"/><Relationship Id="rId51" Type="http://schemas.openxmlformats.org/officeDocument/2006/relationships/package" Target="embeddings/Microsoft_Excel_Worksheet4.xls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s://www.lloyds.com/market-resources/solvency-uk" TargetMode="External"/><Relationship Id="rId33" Type="http://schemas.openxmlformats.org/officeDocument/2006/relationships/hyperlink" Target="https://www.bankofengland.co.uk/prudential-regulation/key-initiatives/solvency-ii/technical-information" TargetMode="External"/><Relationship Id="rId38" Type="http://schemas.openxmlformats.org/officeDocument/2006/relationships/hyperlink" Target="https://www.lloyds.com/market-resources/underwriting/risk-codes" TargetMode="External"/><Relationship Id="rId46" Type="http://schemas.openxmlformats.org/officeDocument/2006/relationships/image" Target="media/image7.emf"/><Relationship Id="rId20" Type="http://schemas.openxmlformats.org/officeDocument/2006/relationships/footer" Target="footer2.xml"/><Relationship Id="rId41" Type="http://schemas.openxmlformats.org/officeDocument/2006/relationships/package" Target="embeddings/Microsoft_Excel_Worksheet.xls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0.png"/><Relationship Id="rId23" Type="http://schemas.openxmlformats.org/officeDocument/2006/relationships/image" Target="media/image3.wmf"/><Relationship Id="rId28" Type="http://schemas.openxmlformats.org/officeDocument/2006/relationships/hyperlink" Target="mailto:Lloyds-SolvencyReturns@lloyds.com" TargetMode="External"/><Relationship Id="rId36" Type="http://schemas.openxmlformats.org/officeDocument/2006/relationships/hyperlink" Target="http://www.lloyds.com/~/media/files/the%20market/operating%20at%20lloyds/solvency%20ii/2015%20guidance/technical%20provisions%20guidance%20july%202015.pdf" TargetMode="External"/><Relationship Id="rId49" Type="http://schemas.openxmlformats.org/officeDocument/2006/relationships/package" Target="embeddings/Microsoft_Excel_Worksheet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453B37C2E9F5943BFD0439B3B5156A7" ma:contentTypeVersion="10" ma:contentTypeDescription="Create a new document." ma:contentTypeScope="" ma:versionID="a3eb72617db323512a2e4e501f9fe012">
  <xsd:schema xmlns:xsd="http://www.w3.org/2001/XMLSchema" xmlns:xs="http://www.w3.org/2001/XMLSchema" xmlns:p="http://schemas.microsoft.com/office/2006/metadata/properties" xmlns:ns2="dbb8d064-0aab-4a9d-9217-8199e4b57163" xmlns:ns3="b8fe962d-9358-414b-a911-6d8ea95b7609" targetNamespace="http://schemas.microsoft.com/office/2006/metadata/properties" ma:root="true" ma:fieldsID="1ccfb66fd0444f4d14a1afd49a3f6785" ns2:_="" ns3:_="">
    <xsd:import namespace="dbb8d064-0aab-4a9d-9217-8199e4b57163"/>
    <xsd:import namespace="b8fe962d-9358-414b-a911-6d8ea95b7609"/>
    <xsd:element name="properties">
      <xsd:complexType>
        <xsd:sequence>
          <xsd:element name="documentManagement">
            <xsd:complexType>
              <xsd:all>
                <xsd:element ref="ns2:SolvencyII_x0020_ReferenceTaxHTField0" minOccurs="0"/>
                <xsd:element ref="ns2:TaxCatchAll" minOccurs="0"/>
                <xsd:element ref="ns2:TaxCatchAllLabel" minOccurs="0"/>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SolvencyII_x0020_ReferenceTaxHTField0" ma:index="9" nillable="true" ma:taxonomy="true" ma:internalName="SolvencyII_x0020_ReferenceTaxHTField0" ma:taxonomyFieldName="SolvencyII_x0020_Reference" ma:displayName="SolvencyII Reference" ma:default="" ma:fieldId="{ee767006-251a-4c46-90ac-ffa44f083c0a}" ma:taxonomyMulti="true" ma:sspId="6a98ba88-a5cd-4093-9c0d-7244f9eef3e8" ma:termSetId="00771e3f-ff45-4955-8419-89aeacf30b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ec4da26-474f-4066-a54e-fca6ff69f168}" ma:internalName="TaxCatchAllLabel" ma:readOnly="true" ma:showField="CatchAllDataLabel"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fe962d-9358-414b-a911-6d8ea95b7609"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SolvencyII_x0020_ReferenceTaxHTField0 xmlns="dbb8d064-0aab-4a9d-9217-8199e4b57163">
      <Terms xmlns="http://schemas.microsoft.com/office/infopath/2007/PartnerControls"/>
    </SolvencyII_x0020_ReferenceTaxHTField0>
    <TaxCatchAll xmlns="dbb8d064-0aab-4a9d-9217-8199e4b57163"/>
    <DLCPolicyLabelClientValue xmlns="b8fe962d-9358-414b-a911-6d8ea95b7609" xsi:nil="true"/>
    <DLCPolicyLabelLock xmlns="b8fe962d-9358-414b-a911-6d8ea95b7609" xsi:nil="true"/>
  </documentManagement>
</p:properties>
</file>

<file path=customXml/itemProps1.xml><?xml version="1.0" encoding="utf-8"?>
<ds:datastoreItem xmlns:ds="http://schemas.openxmlformats.org/officeDocument/2006/customXml" ds:itemID="{6828185D-19B0-4020-A9CE-1A4D012A1F0D}">
  <ds:schemaRefs>
    <ds:schemaRef ds:uri="http://schemas.microsoft.com/sharepoint/events"/>
  </ds:schemaRefs>
</ds:datastoreItem>
</file>

<file path=customXml/itemProps2.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3.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4.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5.xml><?xml version="1.0" encoding="utf-8"?>
<ds:datastoreItem xmlns:ds="http://schemas.openxmlformats.org/officeDocument/2006/customXml" ds:itemID="{C50CF52C-4371-4BD4-B5AC-836B00D6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d064-0aab-4a9d-9217-8199e4b57163"/>
    <ds:schemaRef ds:uri="b8fe962d-9358-414b-a911-6d8ea95b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dbb8d064-0aab-4a9d-9217-8199e4b57163"/>
    <ds:schemaRef ds:uri="b8fe962d-9358-414b-a911-6d8ea95b760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34355</Words>
  <Characters>195828</Characters>
  <Application>Microsoft Office Word</Application>
  <DocSecurity>0</DocSecurity>
  <Lines>1631</Lines>
  <Paragraphs>459</Paragraphs>
  <ScaleCrop>false</ScaleCrop>
  <HeadingPairs>
    <vt:vector size="2" baseType="variant">
      <vt:variant>
        <vt:lpstr>Title</vt:lpstr>
      </vt:variant>
      <vt:variant>
        <vt:i4>1</vt:i4>
      </vt:variant>
    </vt:vector>
  </HeadingPairs>
  <TitlesOfParts>
    <vt:vector size="1" baseType="lpstr">
      <vt:lpstr>SYNDICATE RETURN</vt:lpstr>
    </vt:vector>
  </TitlesOfParts>
  <Company>Lloyd's</Company>
  <LinksUpToDate>false</LinksUpToDate>
  <CharactersWithSpaces>229724</CharactersWithSpaces>
  <SharedDoc>false</SharedDoc>
  <HLinks>
    <vt:vector size="156" baseType="variant">
      <vt:variant>
        <vt:i4>7340052</vt:i4>
      </vt:variant>
      <vt:variant>
        <vt:i4>57</vt:i4>
      </vt:variant>
      <vt:variant>
        <vt:i4>0</vt:i4>
      </vt:variant>
      <vt:variant>
        <vt:i4>5</vt:i4>
      </vt:variant>
      <vt:variant>
        <vt:lpwstr>mailto:Lloyds-SolvencyReturns@lloyds.com</vt:lpwstr>
      </vt:variant>
      <vt:variant>
        <vt:lpwstr/>
      </vt:variant>
      <vt:variant>
        <vt:i4>7864434</vt:i4>
      </vt:variant>
      <vt:variant>
        <vt:i4>54</vt:i4>
      </vt:variant>
      <vt:variant>
        <vt:i4>0</vt:i4>
      </vt:variant>
      <vt:variant>
        <vt:i4>5</vt:i4>
      </vt:variant>
      <vt:variant>
        <vt:lpwstr>https://www.lloyds.com/market-resources/underwriting/risk-codes</vt:lpwstr>
      </vt:variant>
      <vt:variant>
        <vt:lpwstr/>
      </vt:variant>
      <vt:variant>
        <vt:i4>7864434</vt:i4>
      </vt:variant>
      <vt:variant>
        <vt:i4>51</vt:i4>
      </vt:variant>
      <vt:variant>
        <vt:i4>0</vt:i4>
      </vt:variant>
      <vt:variant>
        <vt:i4>5</vt:i4>
      </vt:variant>
      <vt:variant>
        <vt:lpwstr>https://www.lloyds.com/market-resources/underwriting/risk-codes</vt:lpwstr>
      </vt:variant>
      <vt:variant>
        <vt:lpwstr/>
      </vt:variant>
      <vt:variant>
        <vt:i4>1572958</vt:i4>
      </vt:variant>
      <vt:variant>
        <vt:i4>48</vt:i4>
      </vt:variant>
      <vt:variant>
        <vt:i4>0</vt:i4>
      </vt:variant>
      <vt:variant>
        <vt:i4>5</vt:i4>
      </vt:variant>
      <vt:variant>
        <vt:lpwstr>http://www.lloyds.com/~/media/files/the market/operating at lloyds/solvency ii/2015 guidance/technical provisions guidance july 2015.pdf</vt:lpwstr>
      </vt:variant>
      <vt:variant>
        <vt:lpwstr/>
      </vt:variant>
      <vt:variant>
        <vt:i4>4587590</vt:i4>
      </vt:variant>
      <vt:variant>
        <vt:i4>45</vt:i4>
      </vt:variant>
      <vt:variant>
        <vt:i4>0</vt:i4>
      </vt:variant>
      <vt:variant>
        <vt:i4>5</vt:i4>
      </vt:variant>
      <vt:variant>
        <vt:lpwstr>https://assets.lloyds.com/media/fd04de25-80f8-4d72-a0c3-8af9bc6cece7/Lloyd's Solvency II Technical Provisions Guidance - 2024.pdf</vt:lpwstr>
      </vt:variant>
      <vt:variant>
        <vt:lpwstr/>
      </vt:variant>
      <vt:variant>
        <vt:i4>6553720</vt:i4>
      </vt:variant>
      <vt:variant>
        <vt:i4>42</vt:i4>
      </vt:variant>
      <vt:variant>
        <vt:i4>0</vt:i4>
      </vt:variant>
      <vt:variant>
        <vt:i4>5</vt:i4>
      </vt:variant>
      <vt:variant>
        <vt:lpwstr>https://www.bankofengland.co.uk/prudential-regulation/key-initiatives/solvency-ii/technical-information</vt:lpwstr>
      </vt:variant>
      <vt:variant>
        <vt:lpwstr/>
      </vt:variant>
      <vt:variant>
        <vt:i4>6553720</vt:i4>
      </vt:variant>
      <vt:variant>
        <vt:i4>39</vt:i4>
      </vt:variant>
      <vt:variant>
        <vt:i4>0</vt:i4>
      </vt:variant>
      <vt:variant>
        <vt:i4>5</vt:i4>
      </vt:variant>
      <vt:variant>
        <vt:lpwstr>https://www.bankofengland.co.uk/prudential-regulation/key-initiatives/solvency-ii/technical-information</vt:lpwstr>
      </vt:variant>
      <vt:variant>
        <vt:lpwstr/>
      </vt:variant>
      <vt:variant>
        <vt:i4>3276910</vt:i4>
      </vt:variant>
      <vt:variant>
        <vt:i4>36</vt:i4>
      </vt:variant>
      <vt:variant>
        <vt:i4>0</vt:i4>
      </vt:variant>
      <vt:variant>
        <vt:i4>5</vt:i4>
      </vt:variant>
      <vt:variant>
        <vt:lpwstr>https://www.lloyds.com/resources-and-services/capital-and-reserving/capital-guidance/requirements-for-new-entrantshttps:/www.lloyds.com/resources-and-services/capital-and-reserving/capital-guidance/requirements-for-new-entrants</vt:lpwstr>
      </vt:variant>
      <vt:variant>
        <vt:lpwstr/>
      </vt:variant>
      <vt:variant>
        <vt:i4>4522048</vt:i4>
      </vt:variant>
      <vt:variant>
        <vt:i4>33</vt:i4>
      </vt:variant>
      <vt:variant>
        <vt:i4>0</vt:i4>
      </vt:variant>
      <vt:variant>
        <vt:i4>5</vt:i4>
      </vt:variant>
      <vt:variant>
        <vt:lpwstr>https://www.bankofengland.co.uk/-/media/boe/files/prudential-regulation/publication/2023/solvency-ii-review-considerations-for-year-end-2023.pdf</vt:lpwstr>
      </vt:variant>
      <vt:variant>
        <vt:lpwstr/>
      </vt:variant>
      <vt:variant>
        <vt:i4>4587590</vt:i4>
      </vt:variant>
      <vt:variant>
        <vt:i4>30</vt:i4>
      </vt:variant>
      <vt:variant>
        <vt:i4>0</vt:i4>
      </vt:variant>
      <vt:variant>
        <vt:i4>5</vt:i4>
      </vt:variant>
      <vt:variant>
        <vt:lpwstr>https://assets.lloyds.com/media/fd04de25-80f8-4d72-a0c3-8af9bc6cece7/Lloyd's Solvency II Technical Provisions Guidance - 2024.pdf</vt:lpwstr>
      </vt:variant>
      <vt:variant>
        <vt:lpwstr/>
      </vt:variant>
      <vt:variant>
        <vt:i4>7012455</vt:i4>
      </vt:variant>
      <vt:variant>
        <vt:i4>27</vt:i4>
      </vt:variant>
      <vt:variant>
        <vt:i4>0</vt:i4>
      </vt:variant>
      <vt:variant>
        <vt:i4>5</vt:i4>
      </vt:variant>
      <vt:variant>
        <vt:lpwstr>https://assets.lloyds.com/media/57a17403-c9b4-4ac9-873c-157c176c27b5/Y4920.pdf</vt:lpwstr>
      </vt:variant>
      <vt:variant>
        <vt:lpwstr/>
      </vt:variant>
      <vt:variant>
        <vt:i4>4587590</vt:i4>
      </vt:variant>
      <vt:variant>
        <vt:i4>24</vt:i4>
      </vt:variant>
      <vt:variant>
        <vt:i4>0</vt:i4>
      </vt:variant>
      <vt:variant>
        <vt:i4>5</vt:i4>
      </vt:variant>
      <vt:variant>
        <vt:lpwstr>https://assets.lloyds.com/media/fd04de25-80f8-4d72-a0c3-8af9bc6cece7/Lloyd's Solvency II Technical Provisions Guidance - 2024.pdf</vt:lpwstr>
      </vt:variant>
      <vt:variant>
        <vt:lpwstr/>
      </vt:variant>
      <vt:variant>
        <vt:i4>7340052</vt:i4>
      </vt:variant>
      <vt:variant>
        <vt:i4>21</vt:i4>
      </vt:variant>
      <vt:variant>
        <vt:i4>0</vt:i4>
      </vt:variant>
      <vt:variant>
        <vt:i4>5</vt:i4>
      </vt:variant>
      <vt:variant>
        <vt:lpwstr>mailto:Lloyds-SolvencyReturns@lloyds.com</vt:lpwstr>
      </vt:variant>
      <vt:variant>
        <vt:lpwstr/>
      </vt:variant>
      <vt:variant>
        <vt:i4>7340052</vt:i4>
      </vt:variant>
      <vt:variant>
        <vt:i4>15</vt:i4>
      </vt:variant>
      <vt:variant>
        <vt:i4>0</vt:i4>
      </vt:variant>
      <vt:variant>
        <vt:i4>5</vt:i4>
      </vt:variant>
      <vt:variant>
        <vt:lpwstr>mailto:Lloyds-SolvencyReturns@lloyds.com</vt:lpwstr>
      </vt:variant>
      <vt:variant>
        <vt:lpwstr/>
      </vt:variant>
      <vt:variant>
        <vt:i4>65630</vt:i4>
      </vt:variant>
      <vt:variant>
        <vt:i4>9</vt:i4>
      </vt:variant>
      <vt:variant>
        <vt:i4>0</vt:i4>
      </vt:variant>
      <vt:variant>
        <vt:i4>5</vt:i4>
      </vt:variant>
      <vt:variant>
        <vt:lpwstr>https://www.bankofengland.co.uk/prudential-regulation/publication/2024/november/review-of-solvency-ii-restatement-of-assimilated-law-policy-statement</vt:lpwstr>
      </vt:variant>
      <vt:variant>
        <vt:lpwstr/>
      </vt:variant>
      <vt:variant>
        <vt:i4>2687091</vt:i4>
      </vt:variant>
      <vt:variant>
        <vt:i4>6</vt:i4>
      </vt:variant>
      <vt:variant>
        <vt:i4>0</vt:i4>
      </vt:variant>
      <vt:variant>
        <vt:i4>5</vt:i4>
      </vt:variant>
      <vt:variant>
        <vt:lpwstr>https://communications.lloyds.com/323/6843/uploads/solvency-uk---virtual-market-briefing---27-march-2025-final.pdf</vt:lpwstr>
      </vt:variant>
      <vt:variant>
        <vt:lpwstr/>
      </vt:variant>
      <vt:variant>
        <vt:i4>6815854</vt:i4>
      </vt:variant>
      <vt:variant>
        <vt:i4>3</vt:i4>
      </vt:variant>
      <vt:variant>
        <vt:i4>0</vt:i4>
      </vt:variant>
      <vt:variant>
        <vt:i4>5</vt:i4>
      </vt:variant>
      <vt:variant>
        <vt:lpwstr>https://www.youtube.com/watch?v=3ob8mpjjwz4</vt:lpwstr>
      </vt:variant>
      <vt:variant>
        <vt:lpwstr/>
      </vt:variant>
      <vt:variant>
        <vt:i4>65630</vt:i4>
      </vt:variant>
      <vt:variant>
        <vt:i4>0</vt:i4>
      </vt:variant>
      <vt:variant>
        <vt:i4>0</vt:i4>
      </vt:variant>
      <vt:variant>
        <vt:i4>5</vt:i4>
      </vt:variant>
      <vt:variant>
        <vt:lpwstr>https://www.bankofengland.co.uk/prudential-regulation/publication/2024/november/review-of-solvency-ii-restatement-of-assimilated-law-policy-statement</vt:lpwstr>
      </vt:variant>
      <vt:variant>
        <vt:lpwstr/>
      </vt:variant>
      <vt:variant>
        <vt:i4>5898351</vt:i4>
      </vt:variant>
      <vt:variant>
        <vt:i4>21</vt:i4>
      </vt:variant>
      <vt:variant>
        <vt:i4>0</vt:i4>
      </vt:variant>
      <vt:variant>
        <vt:i4>5</vt:i4>
      </vt:variant>
      <vt:variant>
        <vt:lpwstr>mailto:HarrisM@lloyds.com</vt:lpwstr>
      </vt:variant>
      <vt:variant>
        <vt:lpwstr/>
      </vt:variant>
      <vt:variant>
        <vt:i4>5898351</vt:i4>
      </vt:variant>
      <vt:variant>
        <vt:i4>18</vt:i4>
      </vt:variant>
      <vt:variant>
        <vt:i4>0</vt:i4>
      </vt:variant>
      <vt:variant>
        <vt:i4>5</vt:i4>
      </vt:variant>
      <vt:variant>
        <vt:lpwstr>mailto:HarrisM@lloyds.com</vt:lpwstr>
      </vt:variant>
      <vt:variant>
        <vt:lpwstr/>
      </vt:variant>
      <vt:variant>
        <vt:i4>5898351</vt:i4>
      </vt:variant>
      <vt:variant>
        <vt:i4>15</vt:i4>
      </vt:variant>
      <vt:variant>
        <vt:i4>0</vt:i4>
      </vt:variant>
      <vt:variant>
        <vt:i4>5</vt:i4>
      </vt:variant>
      <vt:variant>
        <vt:lpwstr>mailto:HarrisM@lloyds.com</vt:lpwstr>
      </vt:variant>
      <vt:variant>
        <vt:lpwstr/>
      </vt:variant>
      <vt:variant>
        <vt:i4>4391032</vt:i4>
      </vt:variant>
      <vt:variant>
        <vt:i4>12</vt:i4>
      </vt:variant>
      <vt:variant>
        <vt:i4>0</vt:i4>
      </vt:variant>
      <vt:variant>
        <vt:i4>5</vt:i4>
      </vt:variant>
      <vt:variant>
        <vt:lpwstr>mailto:PatelSac@lloyds.com</vt:lpwstr>
      </vt:variant>
      <vt:variant>
        <vt:lpwstr/>
      </vt:variant>
      <vt:variant>
        <vt:i4>5898351</vt:i4>
      </vt:variant>
      <vt:variant>
        <vt:i4>9</vt:i4>
      </vt:variant>
      <vt:variant>
        <vt:i4>0</vt:i4>
      </vt:variant>
      <vt:variant>
        <vt:i4>5</vt:i4>
      </vt:variant>
      <vt:variant>
        <vt:lpwstr>mailto:HarrisM@lloyds.com</vt:lpwstr>
      </vt:variant>
      <vt:variant>
        <vt:lpwstr/>
      </vt:variant>
      <vt:variant>
        <vt:i4>5898351</vt:i4>
      </vt:variant>
      <vt:variant>
        <vt:i4>6</vt:i4>
      </vt:variant>
      <vt:variant>
        <vt:i4>0</vt:i4>
      </vt:variant>
      <vt:variant>
        <vt:i4>5</vt:i4>
      </vt:variant>
      <vt:variant>
        <vt:lpwstr>mailto:HarrisM@lloyds.com</vt:lpwstr>
      </vt:variant>
      <vt:variant>
        <vt:lpwstr/>
      </vt:variant>
      <vt:variant>
        <vt:i4>5898351</vt:i4>
      </vt:variant>
      <vt:variant>
        <vt:i4>3</vt:i4>
      </vt:variant>
      <vt:variant>
        <vt:i4>0</vt:i4>
      </vt:variant>
      <vt:variant>
        <vt:i4>5</vt:i4>
      </vt:variant>
      <vt:variant>
        <vt:lpwstr>mailto:HarrisM@lloyds.com</vt:lpwstr>
      </vt:variant>
      <vt:variant>
        <vt:lpwstr/>
      </vt:variant>
      <vt:variant>
        <vt:i4>4391032</vt:i4>
      </vt:variant>
      <vt:variant>
        <vt:i4>0</vt:i4>
      </vt:variant>
      <vt:variant>
        <vt:i4>0</vt:i4>
      </vt:variant>
      <vt:variant>
        <vt:i4>5</vt:i4>
      </vt:variant>
      <vt:variant>
        <vt:lpwstr>mailto:PatelSac@lloyds.com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Allen, Emma</cp:lastModifiedBy>
  <cp:revision>2</cp:revision>
  <cp:lastPrinted>2025-03-26T18:46:00Z</cp:lastPrinted>
  <dcterms:created xsi:type="dcterms:W3CDTF">2025-09-23T12:59:00Z</dcterms:created>
  <dcterms:modified xsi:type="dcterms:W3CDTF">2025-09-23T12:59:00Z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1e27e215,112ce4de,6ba7a3b3</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2025-09-23T12:59:42Z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a7701319-a83c-423a-8813-c5563825b964</vt:lpwstr>
  </property>
  <property fmtid="{D5CDD505-2E9C-101B-9397-08002B2CF9AE}" pid="17" name="MSIP_Label_d9d4eac9-bab1-4863-b7e6-52e5c519cf63_ContentBits">
    <vt:lpwstr>2</vt:lpwstr>
  </property>
  <property fmtid="{D5CDD505-2E9C-101B-9397-08002B2CF9AE}" pid="18" name="MSIP_Label_d9d4eac9-bab1-4863-b7e6-52e5c519cf63_Tag">
    <vt:lpwstr>10, 0, 1, 1</vt:lpwstr>
  </property>
</Properties>
</file>